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55" w:rsidRPr="00A548F0" w:rsidRDefault="00A548F0" w:rsidP="00A548F0">
      <w:pPr>
        <w:jc w:val="center"/>
        <w:rPr>
          <w:b/>
        </w:rPr>
      </w:pPr>
      <w:r>
        <w:rPr>
          <w:b/>
        </w:rPr>
        <w:t>RESPUESTA 0100467516</w:t>
      </w:r>
    </w:p>
    <w:p w:rsidR="00A548F0" w:rsidRDefault="00A548F0"/>
    <w:p w:rsidR="00A548F0" w:rsidRPr="003A6308" w:rsidRDefault="00A548F0" w:rsidP="00A548F0">
      <w:pPr>
        <w:jc w:val="both"/>
        <w:rPr>
          <w:rFonts w:ascii="Palatino Linotype" w:hAnsi="Palatino Linotype"/>
          <w:sz w:val="22"/>
          <w:szCs w:val="22"/>
        </w:rPr>
      </w:pPr>
      <w:r>
        <w:rPr>
          <w:rFonts w:ascii="Palatino Linotype" w:hAnsi="Palatino Linotype"/>
          <w:sz w:val="22"/>
          <w:szCs w:val="22"/>
        </w:rPr>
        <w:t>R</w:t>
      </w:r>
      <w:r w:rsidRPr="006F7B52">
        <w:rPr>
          <w:rFonts w:ascii="Palatino Linotype" w:hAnsi="Palatino Linotype"/>
          <w:sz w:val="22"/>
          <w:szCs w:val="22"/>
        </w:rPr>
        <w:t>esulta procedente permitir</w:t>
      </w:r>
      <w:r>
        <w:rPr>
          <w:rFonts w:ascii="Palatino Linotype" w:hAnsi="Palatino Linotype"/>
          <w:sz w:val="22"/>
          <w:szCs w:val="22"/>
        </w:rPr>
        <w:t xml:space="preserve"> al solicitante</w:t>
      </w:r>
      <w:r w:rsidRPr="006F7B52">
        <w:rPr>
          <w:rFonts w:ascii="Palatino Linotype" w:hAnsi="Palatino Linotype"/>
          <w:sz w:val="22"/>
          <w:szCs w:val="22"/>
        </w:rPr>
        <w:t xml:space="preserve"> el acceso a la información</w:t>
      </w:r>
      <w:r>
        <w:rPr>
          <w:rFonts w:ascii="Palatino Linotype" w:hAnsi="Palatino Linotype"/>
          <w:sz w:val="22"/>
          <w:szCs w:val="22"/>
        </w:rPr>
        <w:t xml:space="preserve"> solicitada</w:t>
      </w:r>
      <w:r w:rsidRPr="006F7B52">
        <w:rPr>
          <w:rFonts w:ascii="Palatino Linotype" w:hAnsi="Palatino Linotype"/>
          <w:sz w:val="22"/>
          <w:szCs w:val="22"/>
        </w:rPr>
        <w:t xml:space="preserve">, resolviendo las preguntas en el orden que </w:t>
      </w:r>
      <w:r>
        <w:rPr>
          <w:rFonts w:ascii="Palatino Linotype" w:hAnsi="Palatino Linotype"/>
          <w:sz w:val="22"/>
          <w:szCs w:val="22"/>
        </w:rPr>
        <w:t>fueron propuestas;</w:t>
      </w:r>
      <w:r w:rsidRPr="006F7B52">
        <w:rPr>
          <w:rFonts w:ascii="Palatino Linotype" w:hAnsi="Palatino Linotype"/>
          <w:sz w:val="22"/>
          <w:szCs w:val="22"/>
        </w:rPr>
        <w:t xml:space="preserve"> a saber:</w:t>
      </w:r>
    </w:p>
    <w:p w:rsidR="00A548F0" w:rsidRDefault="00A548F0" w:rsidP="00A548F0">
      <w:pPr>
        <w:jc w:val="both"/>
        <w:rPr>
          <w:rFonts w:ascii="Palatino Linotype" w:hAnsi="Palatino Linotype"/>
          <w:color w:val="000000"/>
          <w:sz w:val="22"/>
          <w:szCs w:val="22"/>
          <w:shd w:val="clear" w:color="auto" w:fill="FFFFFF"/>
        </w:rPr>
      </w:pPr>
    </w:p>
    <w:p w:rsidR="00A548F0" w:rsidRDefault="00A548F0" w:rsidP="00A548F0">
      <w:pPr>
        <w:pStyle w:val="Prrafodelista"/>
        <w:numPr>
          <w:ilvl w:val="0"/>
          <w:numId w:val="1"/>
        </w:numPr>
        <w:jc w:val="both"/>
        <w:rPr>
          <w:rFonts w:ascii="Palatino Linotype" w:hAnsi="Palatino Linotype"/>
          <w:b/>
          <w:sz w:val="22"/>
          <w:szCs w:val="22"/>
        </w:rPr>
      </w:pPr>
      <w:r w:rsidRPr="00AE6968">
        <w:rPr>
          <w:rFonts w:ascii="Palatino Linotype" w:hAnsi="Palatino Linotype"/>
          <w:b/>
          <w:sz w:val="22"/>
          <w:szCs w:val="22"/>
        </w:rPr>
        <w:t>¿Cuál es el proceso para que se entregue el dinero de las multas electorales a</w:t>
      </w:r>
      <w:r>
        <w:rPr>
          <w:rFonts w:ascii="Palatino Linotype" w:hAnsi="Palatino Linotype"/>
          <w:b/>
          <w:sz w:val="22"/>
          <w:szCs w:val="22"/>
        </w:rPr>
        <w:t>l Consejo/Secretaría/Instituto?</w:t>
      </w:r>
    </w:p>
    <w:p w:rsidR="00A548F0" w:rsidRPr="00AE6968" w:rsidRDefault="00A548F0" w:rsidP="00A548F0">
      <w:pPr>
        <w:pStyle w:val="Prrafodelista"/>
        <w:jc w:val="both"/>
        <w:rPr>
          <w:rFonts w:ascii="Palatino Linotype" w:hAnsi="Palatino Linotype"/>
          <w:b/>
          <w:sz w:val="22"/>
          <w:szCs w:val="22"/>
        </w:rPr>
      </w:pPr>
    </w:p>
    <w:p w:rsidR="00A548F0" w:rsidRDefault="00A548F0" w:rsidP="00A548F0">
      <w:pPr>
        <w:jc w:val="both"/>
        <w:rPr>
          <w:rFonts w:ascii="Palatino Linotype" w:hAnsi="Palatino Linotype"/>
          <w:sz w:val="22"/>
          <w:szCs w:val="22"/>
        </w:rPr>
      </w:pPr>
      <w:r>
        <w:rPr>
          <w:rFonts w:ascii="Palatino Linotype" w:hAnsi="Palatino Linotype"/>
          <w:b/>
          <w:sz w:val="22"/>
          <w:szCs w:val="22"/>
        </w:rPr>
        <w:t xml:space="preserve">R= </w:t>
      </w:r>
      <w:r w:rsidRPr="00AE6968">
        <w:rPr>
          <w:rFonts w:ascii="Palatino Linotype" w:hAnsi="Palatino Linotype"/>
          <w:b/>
          <w:sz w:val="22"/>
          <w:szCs w:val="22"/>
        </w:rPr>
        <w:t xml:space="preserve"> </w:t>
      </w:r>
      <w:r w:rsidRPr="0084334C">
        <w:rPr>
          <w:rFonts w:ascii="Palatino Linotype" w:hAnsi="Palatino Linotype"/>
          <w:sz w:val="22"/>
          <w:szCs w:val="22"/>
        </w:rPr>
        <w:t>Al respecto se hace</w:t>
      </w:r>
      <w:r>
        <w:rPr>
          <w:rFonts w:ascii="Palatino Linotype" w:hAnsi="Palatino Linotype"/>
          <w:sz w:val="22"/>
          <w:szCs w:val="22"/>
        </w:rPr>
        <w:t xml:space="preserve"> del conocimiento al usuario que con fecha 23 de mayo de 2014, se publicó en el Diario Oficial de la Federación el Decreto por medio del cual se expidió la Ley General de Instituciones y Procedimientos Electorales; el cual estipuló en </w:t>
      </w:r>
      <w:r w:rsidRPr="0084334C">
        <w:rPr>
          <w:rFonts w:ascii="Palatino Linotype" w:hAnsi="Palatino Linotype"/>
          <w:sz w:val="22"/>
          <w:szCs w:val="22"/>
        </w:rPr>
        <w:t>el</w:t>
      </w:r>
      <w:r>
        <w:rPr>
          <w:rFonts w:ascii="Palatino Linotype" w:hAnsi="Palatino Linotype"/>
          <w:sz w:val="22"/>
          <w:szCs w:val="22"/>
        </w:rPr>
        <w:t xml:space="preserve"> numeral 8 del artículo 458 que los recursos obtenidos por la aplicación de sanciones económicas derivadas de infracciones cometidas por los sujetos del régimen sancionador electoral considerados en su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rsidR="00A548F0" w:rsidRDefault="00A548F0" w:rsidP="00A548F0">
      <w:pPr>
        <w:jc w:val="both"/>
        <w:rPr>
          <w:rFonts w:ascii="Palatino Linotype" w:hAnsi="Palatino Linotype"/>
          <w:sz w:val="22"/>
          <w:szCs w:val="22"/>
        </w:rPr>
      </w:pPr>
    </w:p>
    <w:p w:rsidR="00A548F0" w:rsidRDefault="00A548F0" w:rsidP="00A548F0">
      <w:pPr>
        <w:jc w:val="both"/>
        <w:rPr>
          <w:rFonts w:ascii="Palatino Linotype" w:hAnsi="Palatino Linotype"/>
          <w:sz w:val="22"/>
          <w:szCs w:val="22"/>
        </w:rPr>
      </w:pPr>
      <w:r>
        <w:rPr>
          <w:rFonts w:ascii="Palatino Linotype" w:hAnsi="Palatino Linotype"/>
          <w:sz w:val="22"/>
          <w:szCs w:val="22"/>
        </w:rPr>
        <w:t xml:space="preserve">Asimismo, con fecha 28 de junio de 2014, la LXI Legislatura del Honorable Congreso del Estado de Campeche, aprobó el Decreto No. 154, por el que se expidió la Ley de Instituciones y Procedimientos Electorales del Estado Campeche, cuyos artículos 248 </w:t>
      </w:r>
      <w:r w:rsidRPr="0084334C">
        <w:rPr>
          <w:rFonts w:ascii="Palatino Linotype" w:hAnsi="Palatino Linotype"/>
          <w:sz w:val="22"/>
          <w:szCs w:val="22"/>
        </w:rPr>
        <w:t>último párrafo</w:t>
      </w:r>
      <w:r>
        <w:rPr>
          <w:rFonts w:ascii="Palatino Linotype" w:hAnsi="Palatino Linotype"/>
          <w:sz w:val="22"/>
          <w:szCs w:val="22"/>
        </w:rPr>
        <w:t xml:space="preserve">, 619 y 620 estipulan que, las multas provenientes de las sanciones económicas derivadas de infracciones cometidas por las personas </w:t>
      </w:r>
      <w:r w:rsidRPr="0084334C">
        <w:rPr>
          <w:rFonts w:ascii="Palatino Linotype" w:hAnsi="Palatino Linotype"/>
          <w:sz w:val="22"/>
          <w:szCs w:val="22"/>
        </w:rPr>
        <w:t>sujetas</w:t>
      </w:r>
      <w:r>
        <w:rPr>
          <w:rFonts w:ascii="Palatino Linotype" w:hAnsi="Palatino Linotype"/>
          <w:sz w:val="22"/>
          <w:szCs w:val="22"/>
        </w:rPr>
        <w:t xml:space="preserve"> al régimen sancionador electoral serán destinadas a los organismos estatales encargados de la promoción, fomento y desarrollo de la ciencia, tecnología e innovación. De igual manera las multas que le fije el Consejo General del Instituto Electoral, a los partidos políticos, coaliciones o agrupaciones políticas, ciudadanos, aspirantes, dirigentes, miembros, candidatos o simpatizantes y candidatos independientes que no hubiesen sido recurridas, o bien que fuesen confirmadas por la autoridad jurisdiccional electoral, deberán ser pagadas ante la Dirección Ejecutiva de Administración y Prerrogativas, en un plazo improrrogable de quince días, contados a partir de la notificación. Para el caso de que los partidos políticos, coaliciones o agrupaciones políticas, no lo hagan así, deberán ser deducidas de las ministraciones siguientes del financiamiento público a que tengan derecho.  En caso de que estos no cuenten con financiamiento disponible para el descuento de las multas se turnarán a la Secretaría de Finanzas del Estado para el cobro correspondiente.  Tratándose de ciudadanos, aspirantes, dirigentes, miembros, candidatos o simpatizantes y candidatos independientes, el cobro de la multa se hará a través del procedimiento económico coactivo a cargo de la Secretaría de Finanzas.  Finalmente dispone también que todas las multas que hayan sido cobradas por la Secretaría de Finanzas deberán ser remitidas en su importe total al Instituto Electoral en un plazo improrrogable de treinta días contados a partir de su cobro, para efectos de destinarlos a </w:t>
      </w:r>
      <w:r>
        <w:rPr>
          <w:rFonts w:ascii="Palatino Linotype" w:hAnsi="Palatino Linotype"/>
          <w:sz w:val="22"/>
          <w:szCs w:val="22"/>
        </w:rPr>
        <w:lastRenderedPageBreak/>
        <w:t>los organismos estatales encargados de la promoción, fomento y desarrollo de la ciencia, tecnología e innovación.</w:t>
      </w:r>
    </w:p>
    <w:p w:rsidR="00A548F0" w:rsidRDefault="00A548F0" w:rsidP="00A548F0">
      <w:pPr>
        <w:jc w:val="both"/>
        <w:rPr>
          <w:rFonts w:ascii="Palatino Linotype" w:hAnsi="Palatino Linotype"/>
          <w:sz w:val="22"/>
          <w:szCs w:val="22"/>
        </w:rPr>
      </w:pPr>
    </w:p>
    <w:p w:rsidR="00A548F0" w:rsidRPr="00AE1D6B" w:rsidRDefault="00A548F0" w:rsidP="00A548F0">
      <w:pPr>
        <w:pStyle w:val="Sinespaciado"/>
        <w:jc w:val="both"/>
        <w:rPr>
          <w:rFonts w:ascii="Palatino Linotype" w:hAnsi="Palatino Linotype"/>
        </w:rPr>
      </w:pPr>
      <w:r>
        <w:rPr>
          <w:rFonts w:ascii="Palatino Linotype" w:hAnsi="Palatino Linotype"/>
        </w:rPr>
        <w:t>A mayor abundancia, se informa al solicitante</w:t>
      </w:r>
      <w:r w:rsidRPr="0084334C">
        <w:rPr>
          <w:rFonts w:ascii="Palatino Linotype" w:hAnsi="Palatino Linotype"/>
        </w:rPr>
        <w:t>,</w:t>
      </w:r>
      <w:r>
        <w:rPr>
          <w:rFonts w:ascii="Palatino Linotype" w:hAnsi="Palatino Linotype"/>
        </w:rPr>
        <w:t xml:space="preserve"> que el pasado día 6 de diciembre del año 2016 se firmó el </w:t>
      </w:r>
      <w:r>
        <w:rPr>
          <w:rStyle w:val="apple-converted-space"/>
          <w:rFonts w:ascii="Century Gothic" w:hAnsi="Century Gothic"/>
          <w:color w:val="000000"/>
          <w:sz w:val="18"/>
          <w:szCs w:val="18"/>
          <w:shd w:val="clear" w:color="auto" w:fill="FFFFFF"/>
        </w:rPr>
        <w:t> “</w:t>
      </w:r>
      <w:r w:rsidRPr="008430E1">
        <w:rPr>
          <w:rFonts w:ascii="Palatino Linotype" w:hAnsi="Palatino Linotype"/>
          <w:i/>
          <w:color w:val="000000"/>
          <w:shd w:val="clear" w:color="auto" w:fill="FFFFFF"/>
        </w:rPr>
        <w:t>Convenio Marco para la promoción, fomento y desarrollo de la ciencia, tecnología e innovación y Primer Anexo de Ejecución</w:t>
      </w:r>
      <w:r>
        <w:rPr>
          <w:rFonts w:ascii="Palatino Linotype" w:hAnsi="Palatino Linotype"/>
          <w:i/>
          <w:color w:val="000000"/>
          <w:shd w:val="clear" w:color="auto" w:fill="FFFFFF"/>
        </w:rPr>
        <w:t xml:space="preserve">” </w:t>
      </w:r>
      <w:r>
        <w:rPr>
          <w:rFonts w:ascii="Palatino Linotype" w:hAnsi="Palatino Linotype"/>
          <w:color w:val="000000"/>
          <w:shd w:val="clear" w:color="auto" w:fill="FFFFFF"/>
        </w:rPr>
        <w:t xml:space="preserve">celebrado entre el Instituto Electoral del Estado de Campeche y el </w:t>
      </w:r>
      <w:r w:rsidRPr="002319FF">
        <w:rPr>
          <w:rFonts w:ascii="Palatino Linotype" w:hAnsi="Palatino Linotype"/>
          <w:color w:val="000000"/>
          <w:shd w:val="clear" w:color="auto" w:fill="FFFFFF"/>
        </w:rPr>
        <w:t>Consejo Estatal de Investigación Científica y Desarrollo Tecnológico de Campeche (</w:t>
      </w:r>
      <w:proofErr w:type="spellStart"/>
      <w:r w:rsidRPr="002319FF">
        <w:rPr>
          <w:rFonts w:ascii="Palatino Linotype" w:hAnsi="Palatino Linotype"/>
          <w:color w:val="000000"/>
          <w:shd w:val="clear" w:color="auto" w:fill="FFFFFF"/>
        </w:rPr>
        <w:t>COESICyDET</w:t>
      </w:r>
      <w:proofErr w:type="spellEnd"/>
      <w:r w:rsidRPr="002319FF">
        <w:rPr>
          <w:rFonts w:ascii="Palatino Linotype" w:hAnsi="Palatino Linotype"/>
          <w:color w:val="000000"/>
          <w:shd w:val="clear" w:color="auto" w:fill="FFFFFF"/>
        </w:rPr>
        <w:t>)</w:t>
      </w:r>
      <w:r>
        <w:rPr>
          <w:rFonts w:ascii="Palatino Linotype" w:hAnsi="Palatino Linotype"/>
          <w:color w:val="000000"/>
          <w:shd w:val="clear" w:color="auto" w:fill="FFFFFF"/>
        </w:rPr>
        <w:t xml:space="preserve">, organismo estatal encargado de la promoción, fomento y desarrollo de la ciencia, tecnología e innovación en el Estado,  con el objeto de establecer un procedimiento para la transferencia de los recursos que este Instituto Electoral destinará al citado Consejo derivado de las sanciones </w:t>
      </w:r>
      <w:r w:rsidRPr="00AE1D6B">
        <w:rPr>
          <w:rFonts w:ascii="Palatino Linotype" w:hAnsi="Palatino Linotype"/>
          <w:color w:val="000000"/>
          <w:shd w:val="clear" w:color="auto" w:fill="FFFFFF"/>
        </w:rPr>
        <w:t xml:space="preserve">económicas que el Instituto Nacional Electoral </w:t>
      </w:r>
      <w:r w:rsidRPr="0084334C">
        <w:rPr>
          <w:rFonts w:ascii="Palatino Linotype" w:hAnsi="Palatino Linotype"/>
          <w:color w:val="000000"/>
          <w:shd w:val="clear" w:color="auto" w:fill="FFFFFF"/>
        </w:rPr>
        <w:t>impuestas</w:t>
      </w:r>
      <w:r w:rsidRPr="00AE1D6B">
        <w:rPr>
          <w:rFonts w:ascii="Palatino Linotype" w:hAnsi="Palatino Linotype"/>
          <w:color w:val="000000"/>
          <w:shd w:val="clear" w:color="auto" w:fill="FFFFFF"/>
        </w:rPr>
        <w:t xml:space="preserve"> a los </w:t>
      </w:r>
      <w:r w:rsidRPr="0084334C">
        <w:rPr>
          <w:rFonts w:ascii="Palatino Linotype" w:hAnsi="Palatino Linotype"/>
          <w:color w:val="000000"/>
          <w:shd w:val="clear" w:color="auto" w:fill="FFFFFF"/>
        </w:rPr>
        <w:t xml:space="preserve">partidos políticos nacionales con registro local </w:t>
      </w:r>
      <w:bookmarkStart w:id="0" w:name="_GoBack"/>
      <w:bookmarkEnd w:id="0"/>
      <w:r w:rsidRPr="00AE1D6B">
        <w:rPr>
          <w:rFonts w:ascii="Palatino Linotype" w:hAnsi="Palatino Linotype"/>
          <w:color w:val="000000"/>
          <w:shd w:val="clear" w:color="auto" w:fill="FFFFFF"/>
        </w:rPr>
        <w:t xml:space="preserve">ante el Instituto Electoral del Estado de Campeche; </w:t>
      </w:r>
      <w:r w:rsidRPr="0084334C">
        <w:rPr>
          <w:rFonts w:ascii="Palatino Linotype" w:hAnsi="Palatino Linotype"/>
          <w:color w:val="000000"/>
          <w:shd w:val="clear" w:color="auto" w:fill="FFFFFF"/>
        </w:rPr>
        <w:t>a más, con la finalidad de detallar la forma y términos como se entregarían los recursos hasta ahora obtenidos por este Instituto Electoral por ese concepto se firmó en ese mismo acto el</w:t>
      </w:r>
      <w:r w:rsidRPr="00AE1D6B">
        <w:rPr>
          <w:rFonts w:ascii="Palatino Linotype" w:hAnsi="Palatino Linotype"/>
          <w:color w:val="000000"/>
          <w:shd w:val="clear" w:color="auto" w:fill="FFFFFF"/>
        </w:rPr>
        <w:t xml:space="preserve"> “Anexo de Ejecución I”. Al respecto se pone a</w:t>
      </w:r>
      <w:r w:rsidRPr="00AE1D6B">
        <w:rPr>
          <w:rFonts w:ascii="Palatino Linotype" w:hAnsi="Palatino Linotype"/>
        </w:rPr>
        <w:t xml:space="preserve"> disposición del usuario el convenio y el anexo de ejecución, </w:t>
      </w:r>
      <w:r w:rsidRPr="0084334C">
        <w:rPr>
          <w:rFonts w:ascii="Palatino Linotype" w:hAnsi="Palatino Linotype"/>
        </w:rPr>
        <w:t>anteriormente citados,</w:t>
      </w:r>
      <w:r w:rsidRPr="00AE1D6B">
        <w:rPr>
          <w:rFonts w:ascii="Palatino Linotype" w:hAnsi="Palatino Linotype"/>
        </w:rPr>
        <w:t xml:space="preserve"> para su consulta en el portal de internet del Instituto Electoral del Estado de Campeche, ubicado en </w:t>
      </w:r>
      <w:hyperlink r:id="rId5" w:history="1">
        <w:r w:rsidRPr="00AE1D6B">
          <w:rPr>
            <w:rStyle w:val="Hipervnculo"/>
            <w:rFonts w:ascii="Palatino Linotype" w:hAnsi="Palatino Linotype"/>
          </w:rPr>
          <w:t>www.ieec.org.mx</w:t>
        </w:r>
      </w:hyperlink>
      <w:r w:rsidRPr="00AE1D6B">
        <w:rPr>
          <w:rFonts w:ascii="Palatino Linotype" w:hAnsi="Palatino Linotype"/>
        </w:rPr>
        <w:t xml:space="preserve"> en el apartado denominado </w:t>
      </w:r>
      <w:r w:rsidRPr="00AE1D6B">
        <w:rPr>
          <w:rFonts w:ascii="Palatino Linotype" w:hAnsi="Palatino Linotype"/>
          <w:b/>
        </w:rPr>
        <w:t>“</w:t>
      </w:r>
      <w:r w:rsidRPr="00A81629">
        <w:rPr>
          <w:rFonts w:ascii="Palatino Linotype" w:hAnsi="Palatino Linotype"/>
          <w:b/>
          <w:sz w:val="20"/>
          <w:szCs w:val="20"/>
        </w:rPr>
        <w:t>TRANSPARENCIA”</w:t>
      </w:r>
      <w:r w:rsidRPr="00A81629">
        <w:rPr>
          <w:rFonts w:ascii="Palatino Linotype" w:hAnsi="Palatino Linotype"/>
          <w:sz w:val="20"/>
          <w:szCs w:val="20"/>
        </w:rPr>
        <w:t xml:space="preserve"> y que al desplegar las opciones deberá ingresar  a la fracción </w:t>
      </w:r>
      <w:r w:rsidRPr="00A81629">
        <w:rPr>
          <w:rFonts w:ascii="Palatino Linotype" w:hAnsi="Palatino Linotype"/>
          <w:b/>
          <w:sz w:val="20"/>
          <w:szCs w:val="20"/>
        </w:rPr>
        <w:t>“X. LAS DISPOSICIONES LEGALES, REGLAMENTARIAS Y ADMINISTRATIVAS”</w:t>
      </w:r>
      <w:r w:rsidRPr="00A81629">
        <w:rPr>
          <w:rFonts w:ascii="Palatino Linotype" w:hAnsi="Palatino Linotype"/>
          <w:sz w:val="20"/>
          <w:szCs w:val="20"/>
        </w:rPr>
        <w:t xml:space="preserve">, </w:t>
      </w:r>
      <w:r w:rsidRPr="00AE1D6B">
        <w:rPr>
          <w:rFonts w:ascii="Palatino Linotype" w:hAnsi="Palatino Linotype"/>
        </w:rPr>
        <w:t xml:space="preserve">seleccionando el inciso </w:t>
      </w:r>
      <w:r w:rsidRPr="00AE1D6B">
        <w:rPr>
          <w:rFonts w:ascii="Palatino Linotype" w:hAnsi="Palatino Linotype"/>
          <w:b/>
        </w:rPr>
        <w:t>“</w:t>
      </w:r>
      <w:r w:rsidRPr="00AE1D6B">
        <w:rPr>
          <w:rFonts w:ascii="Palatino Linotype" w:hAnsi="Palatino Linotype"/>
          <w:b/>
          <w:bCs/>
          <w:color w:val="000000"/>
          <w:shd w:val="clear" w:color="auto" w:fill="FFFFFF"/>
        </w:rPr>
        <w:t>f. Convenios, contratos, acuerdos de coordinación o apoyo, etc.,...;</w:t>
      </w:r>
      <w:r w:rsidRPr="00AE1D6B">
        <w:rPr>
          <w:rFonts w:ascii="Palatino Linotype" w:hAnsi="Palatino Linotype"/>
          <w:b/>
        </w:rPr>
        <w:t>”</w:t>
      </w:r>
      <w:r w:rsidRPr="00AE1D6B">
        <w:rPr>
          <w:rFonts w:ascii="Palatino Linotype" w:hAnsi="Palatino Linotype"/>
        </w:rPr>
        <w:t xml:space="preserve"> identificando el año </w:t>
      </w:r>
      <w:r w:rsidRPr="00AE1D6B">
        <w:rPr>
          <w:rFonts w:ascii="Palatino Linotype" w:hAnsi="Palatino Linotype"/>
          <w:b/>
        </w:rPr>
        <w:t>“2016</w:t>
      </w:r>
      <w:r w:rsidRPr="0084334C">
        <w:rPr>
          <w:rFonts w:ascii="Palatino Linotype" w:hAnsi="Palatino Linotype"/>
          <w:b/>
        </w:rPr>
        <w:t>”</w:t>
      </w:r>
      <w:r w:rsidRPr="0084334C">
        <w:rPr>
          <w:rFonts w:ascii="Palatino Linotype" w:hAnsi="Palatino Linotype"/>
        </w:rPr>
        <w:t>, o bien consultar directamente los siguientes enlaces:</w:t>
      </w:r>
      <w:r w:rsidRPr="00AE1D6B">
        <w:rPr>
          <w:rFonts w:ascii="Palatino Linotype" w:hAnsi="Palatino Linotype"/>
        </w:rPr>
        <w:t xml:space="preserve"> </w:t>
      </w:r>
      <w:hyperlink r:id="rId6" w:history="1">
        <w:r w:rsidRPr="00AE1D6B">
          <w:rPr>
            <w:rStyle w:val="Hipervnculo"/>
            <w:rFonts w:ascii="Palatino Linotype" w:hAnsi="Palatino Linotype"/>
          </w:rPr>
          <w:t>http://www.ieec.org.mx/transparencia/doctos/X/F/2016/Convenio_marco_transferencia_recursos_por_sanciones_a_partidos_politicos.pdf</w:t>
        </w:r>
      </w:hyperlink>
      <w:r w:rsidRPr="00AE1D6B">
        <w:rPr>
          <w:rFonts w:ascii="Palatino Linotype" w:hAnsi="Palatino Linotype"/>
        </w:rPr>
        <w:t xml:space="preserve"> y </w:t>
      </w:r>
      <w:hyperlink r:id="rId7" w:history="1">
        <w:r w:rsidRPr="00AE1D6B">
          <w:rPr>
            <w:rStyle w:val="Hipervnculo"/>
            <w:rFonts w:ascii="Palatino Linotype" w:hAnsi="Palatino Linotype"/>
          </w:rPr>
          <w:t>http://www.ieec.org.mx/transparencia/doctos/X/F/2016/Anexo_de_convenio_marco_transferencia_recursos_por_sanciones_a_partidos_politicos.pdf</w:t>
        </w:r>
      </w:hyperlink>
      <w:r w:rsidRPr="00AE1D6B">
        <w:rPr>
          <w:rFonts w:ascii="Palatino Linotype" w:hAnsi="Palatino Linotype"/>
        </w:rPr>
        <w:t xml:space="preserve"> .</w:t>
      </w:r>
    </w:p>
    <w:p w:rsidR="00A548F0" w:rsidRDefault="00A548F0" w:rsidP="00A548F0">
      <w:pPr>
        <w:pStyle w:val="Sinespaciado"/>
        <w:jc w:val="both"/>
      </w:pPr>
    </w:p>
    <w:p w:rsidR="00A548F0" w:rsidRPr="00AE1D6B" w:rsidRDefault="00A548F0" w:rsidP="00A548F0">
      <w:pPr>
        <w:pStyle w:val="Sinespaciado"/>
        <w:jc w:val="both"/>
        <w:rPr>
          <w:rFonts w:ascii="Palatino Linotype" w:eastAsia="Times New Roman" w:hAnsi="Palatino Linotype" w:cs="Times New Roman"/>
          <w:lang w:eastAsia="es-MX"/>
        </w:rPr>
      </w:pPr>
      <w:r w:rsidRPr="00AE1D6B">
        <w:rPr>
          <w:rFonts w:ascii="Palatino Linotype" w:eastAsia="Times New Roman" w:hAnsi="Palatino Linotype" w:cs="Times New Roman"/>
          <w:lang w:eastAsia="es-MX"/>
        </w:rPr>
        <w:t xml:space="preserve">El referido Convenio describe </w:t>
      </w:r>
      <w:r w:rsidRPr="0084334C">
        <w:rPr>
          <w:rFonts w:ascii="Palatino Linotype" w:eastAsia="Times New Roman" w:hAnsi="Palatino Linotype" w:cs="Times New Roman"/>
          <w:lang w:eastAsia="es-MX"/>
        </w:rPr>
        <w:t>en sus cláusulas</w:t>
      </w:r>
      <w:r w:rsidRPr="00AE1D6B">
        <w:rPr>
          <w:rFonts w:ascii="Palatino Linotype" w:eastAsia="Times New Roman" w:hAnsi="Palatino Linotype" w:cs="Times New Roman"/>
          <w:lang w:eastAsia="es-MX"/>
        </w:rPr>
        <w:t xml:space="preserve"> el procedimiento para la transferencia de los recursos que el Instituto Electoral del Estado de Campeche (EL IEEC) destinará al Consejo Estatal de Investigación Científica y Desarrollo Tecnológico de Campeche (COESICYDET), obtenidos de las sanciones económicas que el Instituto Nacional Electoral </w:t>
      </w:r>
      <w:r w:rsidRPr="0084334C">
        <w:rPr>
          <w:rFonts w:ascii="Palatino Linotype" w:eastAsia="Times New Roman" w:hAnsi="Palatino Linotype" w:cs="Times New Roman"/>
          <w:lang w:eastAsia="es-MX"/>
        </w:rPr>
        <w:t>imponga</w:t>
      </w:r>
      <w:r w:rsidRPr="00AE1D6B">
        <w:rPr>
          <w:rFonts w:ascii="Palatino Linotype" w:eastAsia="Times New Roman" w:hAnsi="Palatino Linotype" w:cs="Times New Roman"/>
          <w:lang w:eastAsia="es-MX"/>
        </w:rPr>
        <w:t xml:space="preserve"> a los Partidos Políticos con representación ante el Consejo General de este Instituto Electoral para ser destinados </w:t>
      </w:r>
      <w:r w:rsidRPr="0084334C">
        <w:rPr>
          <w:rFonts w:ascii="Palatino Linotype" w:eastAsia="Times New Roman" w:hAnsi="Palatino Linotype" w:cs="Times New Roman"/>
          <w:lang w:eastAsia="es-MX"/>
        </w:rPr>
        <w:t xml:space="preserve">al organismo estatal </w:t>
      </w:r>
      <w:r w:rsidRPr="0084334C">
        <w:rPr>
          <w:rFonts w:ascii="Palatino Linotype" w:hAnsi="Palatino Linotype"/>
        </w:rPr>
        <w:t>encargado de la promoción, fomento y desarrollo de la ciencia, tecnología e innovación</w:t>
      </w:r>
      <w:r w:rsidRPr="00AE1D6B">
        <w:rPr>
          <w:rFonts w:ascii="Palatino Linotype" w:eastAsia="Times New Roman" w:hAnsi="Palatino Linotype" w:cs="Times New Roman"/>
          <w:lang w:eastAsia="es-MX"/>
        </w:rPr>
        <w:t>.</w:t>
      </w:r>
    </w:p>
    <w:p w:rsidR="00A548F0" w:rsidRDefault="00A548F0" w:rsidP="00A548F0">
      <w:pPr>
        <w:pStyle w:val="Sinespaciado"/>
        <w:jc w:val="both"/>
        <w:rPr>
          <w:rFonts w:ascii="Palatino Linotype" w:eastAsia="Times New Roman" w:hAnsi="Palatino Linotype" w:cs="Times New Roman"/>
          <w:lang w:eastAsia="es-MX"/>
        </w:rPr>
      </w:pPr>
    </w:p>
    <w:p w:rsidR="00A548F0" w:rsidRDefault="00A548F0" w:rsidP="00A548F0">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De igual manera agrega el documento que los recursos obtenidos de las sanciones económicas que el Instituto Nacional Electoral imponga se entregará</w:t>
      </w:r>
      <w:r w:rsidRPr="0084334C">
        <w:rPr>
          <w:rFonts w:ascii="Palatino Linotype" w:eastAsia="Times New Roman" w:hAnsi="Palatino Linotype" w:cs="Times New Roman"/>
          <w:lang w:eastAsia="es-MX"/>
        </w:rPr>
        <w:t>n</w:t>
      </w:r>
      <w:r>
        <w:rPr>
          <w:rFonts w:ascii="Palatino Linotype" w:eastAsia="Times New Roman" w:hAnsi="Palatino Linotype" w:cs="Times New Roman"/>
          <w:lang w:eastAsia="es-MX"/>
        </w:rPr>
        <w:t xml:space="preserve"> en la forma y términos que se detall</w:t>
      </w:r>
      <w:r w:rsidRPr="0084334C">
        <w:rPr>
          <w:rFonts w:ascii="Palatino Linotype" w:eastAsia="Times New Roman" w:hAnsi="Palatino Linotype" w:cs="Times New Roman"/>
          <w:lang w:eastAsia="es-MX"/>
        </w:rPr>
        <w:t>en</w:t>
      </w:r>
      <w:r>
        <w:rPr>
          <w:rFonts w:ascii="Palatino Linotype" w:eastAsia="Times New Roman" w:hAnsi="Palatino Linotype" w:cs="Times New Roman"/>
          <w:lang w:eastAsia="es-MX"/>
        </w:rPr>
        <w:t xml:space="preserve"> en los anexos de ejecución correspondientes, para ser destinadas a la promoción, fomento y desarrollo de la ciencia, tecnología e innovación en el Estado de Campeche.</w:t>
      </w:r>
    </w:p>
    <w:p w:rsidR="00A548F0" w:rsidRDefault="00A548F0" w:rsidP="00A548F0">
      <w:pPr>
        <w:pStyle w:val="Sinespaciado"/>
        <w:jc w:val="both"/>
        <w:rPr>
          <w:rFonts w:ascii="Palatino Linotype" w:eastAsia="Times New Roman" w:hAnsi="Palatino Linotype" w:cs="Times New Roman"/>
          <w:lang w:eastAsia="es-MX"/>
        </w:rPr>
      </w:pPr>
    </w:p>
    <w:p w:rsidR="00A548F0" w:rsidRDefault="00A548F0" w:rsidP="00A548F0">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También expresa que el monto se entregará en transferencias bancarias mensuales o según lo determine el Instituto Electoral del Estado de Campeche, especificadas en el calendario </w:t>
      </w:r>
      <w:r>
        <w:rPr>
          <w:rFonts w:ascii="Palatino Linotype" w:eastAsia="Times New Roman" w:hAnsi="Palatino Linotype" w:cs="Times New Roman"/>
          <w:lang w:eastAsia="es-MX"/>
        </w:rPr>
        <w:lastRenderedPageBreak/>
        <w:t xml:space="preserve">que se contendrá </w:t>
      </w:r>
      <w:r w:rsidRPr="00D6114A">
        <w:rPr>
          <w:rFonts w:ascii="Palatino Linotype" w:eastAsia="Times New Roman" w:hAnsi="Palatino Linotype" w:cs="Times New Roman"/>
          <w:lang w:eastAsia="es-MX"/>
        </w:rPr>
        <w:t>los anexos</w:t>
      </w:r>
      <w:r>
        <w:rPr>
          <w:rFonts w:ascii="Palatino Linotype" w:eastAsia="Times New Roman" w:hAnsi="Palatino Linotype" w:cs="Times New Roman"/>
          <w:lang w:eastAsia="es-MX"/>
        </w:rPr>
        <w:t xml:space="preserve"> de ejecución, de acuerdo a las cantidades que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vaya descontando de las ministraciones de los partidos políticos multados, hasta completar el total de las multas impuestas.</w:t>
      </w:r>
    </w:p>
    <w:p w:rsidR="00A548F0" w:rsidRDefault="00A548F0" w:rsidP="00A548F0">
      <w:pPr>
        <w:pStyle w:val="Sinespaciado"/>
        <w:jc w:val="both"/>
        <w:rPr>
          <w:rFonts w:ascii="Palatino Linotype" w:eastAsia="Times New Roman" w:hAnsi="Palatino Linotype" w:cs="Times New Roman"/>
          <w:lang w:eastAsia="es-MX"/>
        </w:rPr>
      </w:pPr>
    </w:p>
    <w:p w:rsidR="00A548F0" w:rsidRPr="00BC6A17" w:rsidRDefault="00A548F0" w:rsidP="00A548F0">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Finalmente se significa</w:t>
      </w:r>
      <w:r w:rsidRPr="00D6114A">
        <w:rPr>
          <w:rFonts w:ascii="Palatino Linotype" w:eastAsia="Times New Roman" w:hAnsi="Palatino Linotype" w:cs="Times New Roman"/>
          <w:lang w:eastAsia="es-MX"/>
        </w:rPr>
        <w:t>,</w:t>
      </w:r>
      <w:r>
        <w:rPr>
          <w:rFonts w:ascii="Palatino Linotype" w:eastAsia="Times New Roman" w:hAnsi="Palatino Linotype" w:cs="Times New Roman"/>
          <w:lang w:eastAsia="es-MX"/>
        </w:rPr>
        <w:t xml:space="preserve"> que la transferencia de los recursos, el Consejo Estatal de Investigación Científica y Desarrollo Tecnológico de Campeche </w:t>
      </w:r>
      <w:r w:rsidRPr="00D6114A">
        <w:rPr>
          <w:rFonts w:ascii="Palatino Linotype" w:eastAsia="Times New Roman" w:hAnsi="Palatino Linotype" w:cs="Times New Roman"/>
          <w:lang w:eastAsia="es-MX"/>
        </w:rPr>
        <w:t>(COESICYDET)</w:t>
      </w:r>
      <w:r>
        <w:rPr>
          <w:rFonts w:ascii="Palatino Linotype" w:eastAsia="Times New Roman" w:hAnsi="Palatino Linotype" w:cs="Times New Roman"/>
          <w:lang w:eastAsia="es-MX"/>
        </w:rPr>
        <w:t xml:space="preserve"> proporcionó una cuenta bancaria y </w:t>
      </w:r>
      <w:proofErr w:type="spellStart"/>
      <w:r>
        <w:rPr>
          <w:rFonts w:ascii="Palatino Linotype" w:eastAsia="Times New Roman" w:hAnsi="Palatino Linotype" w:cs="Times New Roman"/>
          <w:lang w:eastAsia="es-MX"/>
        </w:rPr>
        <w:t>clabe</w:t>
      </w:r>
      <w:proofErr w:type="spellEnd"/>
      <w:r>
        <w:rPr>
          <w:rFonts w:ascii="Palatino Linotype" w:eastAsia="Times New Roman" w:hAnsi="Palatino Linotype" w:cs="Times New Roman"/>
          <w:lang w:eastAsia="es-MX"/>
        </w:rPr>
        <w:t xml:space="preserve"> interbancaria en la cual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realizará el depósito de los montos obtenidos de las sanciones económicas impuestas.</w:t>
      </w:r>
    </w:p>
    <w:p w:rsidR="00A548F0" w:rsidRPr="002319FF" w:rsidRDefault="00A548F0" w:rsidP="00A548F0">
      <w:pPr>
        <w:jc w:val="both"/>
        <w:rPr>
          <w:rFonts w:ascii="Palatino Linotype" w:hAnsi="Palatino Linotype"/>
          <w:b/>
          <w:sz w:val="22"/>
          <w:szCs w:val="22"/>
        </w:rPr>
      </w:pPr>
    </w:p>
    <w:p w:rsidR="00A548F0" w:rsidRDefault="00A548F0" w:rsidP="00A548F0">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Desde que entró en vigor la previsión de que el dinero de las multas electorales se destine a ciencia y tecnología ¿Ya recibió el Consejo/Secretaría/Instituto el dinero de multas electorales? De ser el caso, le pido me precise cuáles multas ya fueron pagadas y cuándo, así como cuáles siguen pendientes de cobrar o enterar al Consejo/Secretaría/Instituto.</w:t>
      </w:r>
    </w:p>
    <w:p w:rsidR="00A548F0" w:rsidRDefault="00A548F0" w:rsidP="00A548F0">
      <w:pPr>
        <w:pStyle w:val="Prrafodelista"/>
        <w:jc w:val="both"/>
        <w:rPr>
          <w:rFonts w:ascii="Palatino Linotype" w:hAnsi="Palatino Linotype"/>
          <w:b/>
          <w:sz w:val="22"/>
          <w:szCs w:val="22"/>
        </w:rPr>
      </w:pPr>
    </w:p>
    <w:p w:rsidR="00A548F0" w:rsidRDefault="00A548F0" w:rsidP="00A548F0">
      <w:pPr>
        <w:jc w:val="both"/>
        <w:rPr>
          <w:rFonts w:ascii="Palatino Linotype" w:hAnsi="Palatino Linotype"/>
          <w:sz w:val="22"/>
          <w:szCs w:val="22"/>
        </w:rPr>
      </w:pPr>
      <w:r>
        <w:rPr>
          <w:rFonts w:ascii="Palatino Linotype" w:hAnsi="Palatino Linotype"/>
          <w:b/>
          <w:sz w:val="22"/>
          <w:szCs w:val="22"/>
        </w:rPr>
        <w:t>R=</w:t>
      </w:r>
      <w:r w:rsidRPr="00E24961">
        <w:rPr>
          <w:rFonts w:ascii="Palatino Linotype" w:hAnsi="Palatino Linotype"/>
          <w:b/>
          <w:sz w:val="22"/>
          <w:szCs w:val="22"/>
        </w:rPr>
        <w:t xml:space="preserve"> </w:t>
      </w:r>
      <w:r>
        <w:rPr>
          <w:rFonts w:ascii="Palatino Linotype" w:hAnsi="Palatino Linotype"/>
          <w:sz w:val="22"/>
          <w:szCs w:val="22"/>
        </w:rPr>
        <w:t xml:space="preserve">Sí; desde que entró en vigor la Ley de Instituciones y Procedimientos Electorales del Estado de Campeche, en el Instituto Electoral se han recibido y se seguirán recibiendo recursos correspondientes a las multas electorales impuestas por </w:t>
      </w:r>
      <w:r w:rsidRPr="00D6114A">
        <w:rPr>
          <w:rFonts w:ascii="Palatino Linotype" w:hAnsi="Palatino Linotype"/>
          <w:sz w:val="22"/>
          <w:szCs w:val="22"/>
        </w:rPr>
        <w:t>el Instituto Nacional Electoral</w:t>
      </w:r>
      <w:r>
        <w:rPr>
          <w:rFonts w:ascii="Palatino Linotype" w:hAnsi="Palatino Linotype"/>
          <w:sz w:val="22"/>
          <w:szCs w:val="22"/>
        </w:rPr>
        <w:t xml:space="preserve">. A modo de referencia y para identificar por Partido Político el importe de las sanciones </w:t>
      </w:r>
      <w:r w:rsidRPr="00D6114A">
        <w:rPr>
          <w:rFonts w:ascii="Palatino Linotype" w:hAnsi="Palatino Linotype"/>
          <w:sz w:val="22"/>
          <w:szCs w:val="22"/>
        </w:rPr>
        <w:t>hasta ahora impuestas</w:t>
      </w:r>
      <w:r>
        <w:rPr>
          <w:rFonts w:ascii="Palatino Linotype" w:hAnsi="Palatino Linotype"/>
          <w:sz w:val="22"/>
          <w:szCs w:val="22"/>
        </w:rPr>
        <w:t xml:space="preserve"> se hace del conocimiento la resolución del Consejo General del Instituto Nacional Electoral INE/CG775/2015, de fecha 12 de agosto de 2015, </w:t>
      </w:r>
      <w:r w:rsidRPr="00D6114A">
        <w:rPr>
          <w:rFonts w:ascii="Palatino Linotype" w:hAnsi="Palatino Linotype"/>
          <w:sz w:val="22"/>
          <w:szCs w:val="22"/>
        </w:rPr>
        <w:t>denominada “</w:t>
      </w:r>
      <w:r w:rsidRPr="00A81629">
        <w:rPr>
          <w:rFonts w:ascii="Palatino Linotype" w:hAnsi="Palatino Linotype"/>
          <w:b/>
          <w:sz w:val="20"/>
          <w:szCs w:val="20"/>
        </w:rPr>
        <w:t>RESOLUCIÓN DEL CONSEJO GENERAL DEL INSTITUTO NACIONAL ELECTORAL RESPECTO DE LAS IRREGULARIDADES ENCONTRADAS EN EL DICTAMEN CONSOLIDADO DE LA REVISIÓN DE LOS INFORMES DE CAMPAÑA DE LOS INGRESOS Y EGRESOS DE LOS CANDIDATOS A LOS CARGOS DE GOBERNADOR, DIPUTADOS LOCALES, AYUNTAMIENTOS, JUNTAS MUNICIPALES POR LOS PARTIDOS POLÍTICOS, ASÍ COMO CANDIDATOS INDEPENDIENTES AL CARGO DE GOBERNADOR Y DIPUTADOS LOCALES, CORRESPONDIENTE AL PROCESO ELECTORAL LOCAL ORDINARIO 2014-2015 EN EL ESTADO DE CAMPECHE</w:t>
      </w:r>
      <w:r w:rsidRPr="00D6114A">
        <w:rPr>
          <w:rFonts w:ascii="Palatino Linotype" w:hAnsi="Palatino Linotype"/>
          <w:b/>
          <w:sz w:val="22"/>
          <w:szCs w:val="22"/>
        </w:rPr>
        <w:t>”</w:t>
      </w:r>
      <w:r>
        <w:t xml:space="preserve">, </w:t>
      </w:r>
      <w:r>
        <w:rPr>
          <w:rFonts w:ascii="Palatino Linotype" w:hAnsi="Palatino Linotype"/>
          <w:sz w:val="22"/>
          <w:szCs w:val="22"/>
        </w:rPr>
        <w:t xml:space="preserve">misma que se puede consultar desde el portal de internet del Instituto Nacional Electoral (INE) ubicado en: </w:t>
      </w:r>
      <w:hyperlink r:id="rId8" w:history="1">
        <w:r w:rsidRPr="00407C83">
          <w:rPr>
            <w:rStyle w:val="Hipervnculo"/>
            <w:rFonts w:ascii="Palatino Linotype" w:hAnsi="Palatino Linotype"/>
            <w:sz w:val="22"/>
            <w:szCs w:val="22"/>
          </w:rPr>
          <w:t>www.ine.mx</w:t>
        </w:r>
      </w:hyperlink>
      <w:r>
        <w:rPr>
          <w:rFonts w:ascii="Palatino Linotype" w:hAnsi="Palatino Linotype"/>
          <w:sz w:val="22"/>
          <w:szCs w:val="22"/>
        </w:rPr>
        <w:t xml:space="preserve"> o directamente en el siguiente enlace: </w:t>
      </w:r>
      <w:hyperlink r:id="rId9" w:history="1">
        <w:r w:rsidRPr="00407C83">
          <w:rPr>
            <w:rStyle w:val="Hipervnculo"/>
            <w:rFonts w:ascii="Palatino Linotype" w:hAnsi="Palatino Linotype"/>
            <w:sz w:val="22"/>
            <w:szCs w:val="22"/>
          </w:rPr>
          <w:t>http://www.ine.mx/archivos3/portal/historico/recursos/IFE-v2/DS/DS-CG/DS-SesionesCG/CG-resoluciones/2015/08_Agosto/CGex201508-12_02/CGex2_201508-12_rp_3_3.pdf</w:t>
        </w:r>
      </w:hyperlink>
      <w:r>
        <w:rPr>
          <w:rFonts w:ascii="Palatino Linotype" w:hAnsi="Palatino Linotype"/>
          <w:sz w:val="22"/>
          <w:szCs w:val="22"/>
        </w:rPr>
        <w:t>.</w:t>
      </w:r>
    </w:p>
    <w:p w:rsidR="00A548F0" w:rsidRDefault="00A548F0" w:rsidP="00A548F0">
      <w:pPr>
        <w:jc w:val="both"/>
        <w:rPr>
          <w:rFonts w:ascii="Palatino Linotype" w:hAnsi="Palatino Linotype"/>
          <w:sz w:val="22"/>
          <w:szCs w:val="22"/>
        </w:rPr>
      </w:pPr>
    </w:p>
    <w:p w:rsidR="00A548F0" w:rsidRDefault="00A548F0" w:rsidP="00A548F0">
      <w:pPr>
        <w:jc w:val="both"/>
        <w:rPr>
          <w:rFonts w:ascii="Palatino Linotype" w:hAnsi="Palatino Linotype"/>
          <w:sz w:val="22"/>
          <w:szCs w:val="22"/>
        </w:rPr>
      </w:pPr>
      <w:r w:rsidRPr="00D6114A">
        <w:rPr>
          <w:rFonts w:ascii="Palatino Linotype" w:hAnsi="Palatino Linotype"/>
          <w:sz w:val="22"/>
          <w:szCs w:val="22"/>
        </w:rPr>
        <w:t>Derivadas de dicha resolución,</w:t>
      </w:r>
      <w:r>
        <w:rPr>
          <w:rFonts w:ascii="Palatino Linotype" w:hAnsi="Palatino Linotype"/>
          <w:sz w:val="22"/>
          <w:szCs w:val="22"/>
        </w:rPr>
        <w:t xml:space="preserve"> las multas pagadas y pendientes por pagar a este Instituto Electoral, se describen a continuación:</w:t>
      </w:r>
    </w:p>
    <w:p w:rsidR="00A548F0" w:rsidRDefault="00A548F0" w:rsidP="00A548F0">
      <w:pPr>
        <w:jc w:val="both"/>
        <w:rPr>
          <w:rFonts w:ascii="Palatino Linotype" w:hAnsi="Palatino Linotype"/>
          <w:sz w:val="22"/>
          <w:szCs w:val="22"/>
        </w:rPr>
      </w:pP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Acción Nacional.</w:t>
      </w:r>
      <w:r>
        <w:rPr>
          <w:rFonts w:ascii="Palatino Linotype" w:hAnsi="Palatino Linotype"/>
          <w:sz w:val="22"/>
          <w:szCs w:val="22"/>
        </w:rPr>
        <w:t xml:space="preserve"> Multa aplicada: $ 33,858.30, pagada en septiembre de 2015.</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Revolucionario Institucional.</w:t>
      </w:r>
      <w:r>
        <w:rPr>
          <w:rFonts w:ascii="Palatino Linotype" w:hAnsi="Palatino Linotype"/>
          <w:sz w:val="22"/>
          <w:szCs w:val="22"/>
        </w:rPr>
        <w:t xml:space="preserve"> Multa aplicada: $ 630,549.50, pagada en octubre de 2016.</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lastRenderedPageBreak/>
        <w:t>Partido de la Revolución Democrática</w:t>
      </w:r>
      <w:r>
        <w:rPr>
          <w:rFonts w:ascii="Palatino Linotype" w:hAnsi="Palatino Linotype"/>
          <w:sz w:val="22"/>
          <w:szCs w:val="22"/>
        </w:rPr>
        <w:t xml:space="preserve">. Multa aplicada: $ 978,455.80; cantidad cubierta hasta el mes de octubre de 2016: $ 327,798.70; pendiente por pagar: $ 650,657.10 </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del Trabajo</w:t>
      </w:r>
      <w:r>
        <w:rPr>
          <w:rFonts w:ascii="Palatino Linotype" w:hAnsi="Palatino Linotype"/>
          <w:sz w:val="22"/>
          <w:szCs w:val="22"/>
        </w:rPr>
        <w:t>. Multa aplicada: $ 178,194.20; cantidad cubierta a octubre de 2016:      $ 148,495.20; pendiente por pagar: $ 29,699.00</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Verde Ecologista de México.</w:t>
      </w:r>
      <w:r>
        <w:rPr>
          <w:rFonts w:ascii="Palatino Linotype" w:hAnsi="Palatino Linotype"/>
          <w:sz w:val="22"/>
          <w:szCs w:val="22"/>
        </w:rPr>
        <w:t xml:space="preserve"> Multa aplicada: $ 420,380.60; cantidad cubierta a octubre de 2016: $ 194,851.50; pendiente por pagar: $ 225,529.10</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Movimiento Ciudadano.</w:t>
      </w:r>
      <w:r>
        <w:rPr>
          <w:rFonts w:ascii="Palatino Linotype" w:hAnsi="Palatino Linotype"/>
          <w:sz w:val="22"/>
          <w:szCs w:val="22"/>
        </w:rPr>
        <w:t xml:space="preserve"> Multa aplicada: $ 36,311.80; pagada en diciembre de 2015.</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Nueva Alianza</w:t>
      </w:r>
      <w:r>
        <w:rPr>
          <w:rFonts w:ascii="Palatino Linotype" w:hAnsi="Palatino Linotype"/>
          <w:sz w:val="22"/>
          <w:szCs w:val="22"/>
        </w:rPr>
        <w:t xml:space="preserve">. Multa aplicada: $ 69,328.90; pendiente por pagar, en virtud de que </w:t>
      </w:r>
      <w:r w:rsidRPr="00D6114A">
        <w:rPr>
          <w:rFonts w:ascii="Palatino Linotype" w:hAnsi="Palatino Linotype"/>
          <w:sz w:val="22"/>
          <w:szCs w:val="22"/>
        </w:rPr>
        <w:t>este Partido Político</w:t>
      </w:r>
      <w:r>
        <w:rPr>
          <w:rFonts w:ascii="Palatino Linotype" w:hAnsi="Palatino Linotype"/>
          <w:sz w:val="22"/>
          <w:szCs w:val="22"/>
        </w:rPr>
        <w:t xml:space="preserve"> presentó </w:t>
      </w:r>
      <w:r w:rsidRPr="00D6114A">
        <w:rPr>
          <w:rFonts w:ascii="Palatino Linotype" w:hAnsi="Palatino Linotype"/>
          <w:sz w:val="22"/>
          <w:szCs w:val="22"/>
        </w:rPr>
        <w:t>un</w:t>
      </w:r>
      <w:r>
        <w:rPr>
          <w:rFonts w:ascii="Palatino Linotype" w:hAnsi="Palatino Linotype"/>
          <w:sz w:val="22"/>
          <w:szCs w:val="22"/>
        </w:rPr>
        <w:t xml:space="preserve"> recurso de apelación ante la Sala Superior del Tribunal Electoral del Poder Judicial de  la Federación, quien resolvió el incidente de inejecución de sentencia relacionado con dicho recurso identificado con el número SUP-RAP-323/2015, la cual en su punto ÚNICO estableció: </w:t>
      </w:r>
      <w:r>
        <w:rPr>
          <w:rFonts w:ascii="Palatino Linotype" w:hAnsi="Palatino Linotype"/>
          <w:i/>
          <w:sz w:val="22"/>
          <w:szCs w:val="22"/>
        </w:rPr>
        <w:t>“Ú</w:t>
      </w:r>
      <w:r w:rsidRPr="00251A10">
        <w:rPr>
          <w:rFonts w:ascii="Palatino Linotype" w:hAnsi="Palatino Linotype"/>
          <w:i/>
          <w:sz w:val="22"/>
          <w:szCs w:val="22"/>
        </w:rPr>
        <w:t>NICO. Es infundado el incidente de inejecución de sentencia presentado por Nueva Alianza, respecto del fallo dictado en el recurso de apelación SUP-RAP-323/2015”</w:t>
      </w:r>
      <w:r>
        <w:rPr>
          <w:rFonts w:ascii="Palatino Linotype" w:hAnsi="Palatino Linotype"/>
          <w:i/>
          <w:sz w:val="22"/>
          <w:szCs w:val="22"/>
        </w:rPr>
        <w:t>. S</w:t>
      </w:r>
      <w:r>
        <w:rPr>
          <w:rFonts w:ascii="Palatino Linotype" w:hAnsi="Palatino Linotype"/>
          <w:sz w:val="22"/>
          <w:szCs w:val="22"/>
        </w:rPr>
        <w:t xml:space="preserve">in embargo hasta la fecha este Instituto Electoral no ha sido notificado de manera oficial de resolución alguna que haya causado estado en relación a </w:t>
      </w:r>
      <w:r w:rsidRPr="00D6114A">
        <w:rPr>
          <w:rFonts w:ascii="Palatino Linotype" w:hAnsi="Palatino Linotype"/>
          <w:sz w:val="22"/>
          <w:szCs w:val="22"/>
        </w:rPr>
        <w:t>esta</w:t>
      </w:r>
      <w:r>
        <w:rPr>
          <w:rFonts w:ascii="Palatino Linotype" w:hAnsi="Palatino Linotype"/>
          <w:sz w:val="22"/>
          <w:szCs w:val="22"/>
        </w:rPr>
        <w:t xml:space="preserve"> situación jurídica, por lo que el cobro de la multa se realizará hasta el momento en que la autoridad jurisdiccional correspondiente determine lo conducente.  </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MORENA.</w:t>
      </w:r>
      <w:r>
        <w:rPr>
          <w:rFonts w:ascii="Palatino Linotype" w:hAnsi="Palatino Linotype"/>
          <w:sz w:val="22"/>
          <w:szCs w:val="22"/>
        </w:rPr>
        <w:t xml:space="preserve"> Multa aplicada: $ 443,780.94; cantidad cubierta a octubre de 2016:        $ 339,561.64; pendiente por pagar: $ 104,219.30</w:t>
      </w:r>
    </w:p>
    <w:p w:rsidR="00A548F0" w:rsidRDefault="00A548F0" w:rsidP="00A548F0">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Encuentro Social.</w:t>
      </w:r>
      <w:r>
        <w:rPr>
          <w:rFonts w:ascii="Palatino Linotype" w:hAnsi="Palatino Linotype"/>
          <w:sz w:val="22"/>
          <w:szCs w:val="22"/>
        </w:rPr>
        <w:t xml:space="preserve"> Multa aplicada: $ 68,698.00; cantidad cubierta a octubre de 2016: $ 57,248.40; pendiente por pagar: $ 11,449.60</w:t>
      </w:r>
    </w:p>
    <w:p w:rsidR="00A548F0" w:rsidRPr="005C7C5F" w:rsidRDefault="00A548F0" w:rsidP="00A548F0">
      <w:pPr>
        <w:pStyle w:val="Prrafodelista"/>
        <w:numPr>
          <w:ilvl w:val="0"/>
          <w:numId w:val="2"/>
        </w:numPr>
        <w:jc w:val="both"/>
        <w:rPr>
          <w:rFonts w:ascii="Palatino Linotype" w:hAnsi="Palatino Linotype"/>
          <w:b/>
          <w:sz w:val="22"/>
          <w:szCs w:val="22"/>
        </w:rPr>
      </w:pPr>
      <w:r w:rsidRPr="00E92413">
        <w:rPr>
          <w:rFonts w:ascii="Palatino Linotype" w:hAnsi="Palatino Linotype"/>
          <w:b/>
          <w:sz w:val="22"/>
          <w:szCs w:val="22"/>
        </w:rPr>
        <w:t>Partido Humanista.</w:t>
      </w:r>
      <w:r w:rsidRPr="00E92413">
        <w:rPr>
          <w:rFonts w:ascii="Palatino Linotype" w:hAnsi="Palatino Linotype"/>
          <w:sz w:val="22"/>
          <w:szCs w:val="22"/>
        </w:rPr>
        <w:t xml:space="preserve"> Multa aplicada: $ 33,648.00; pago pendiente por </w:t>
      </w:r>
      <w:r>
        <w:rPr>
          <w:rFonts w:ascii="Palatino Linotype" w:hAnsi="Palatino Linotype"/>
          <w:sz w:val="22"/>
          <w:szCs w:val="22"/>
        </w:rPr>
        <w:t xml:space="preserve">estar el Partido Político sujeto a </w:t>
      </w:r>
      <w:r w:rsidRPr="00E92413">
        <w:rPr>
          <w:rFonts w:ascii="Palatino Linotype" w:hAnsi="Palatino Linotype"/>
          <w:sz w:val="22"/>
          <w:szCs w:val="22"/>
        </w:rPr>
        <w:t xml:space="preserve">proceso de liquidación </w:t>
      </w:r>
      <w:r w:rsidRPr="00D6114A">
        <w:rPr>
          <w:rFonts w:ascii="Palatino Linotype" w:hAnsi="Palatino Linotype"/>
          <w:sz w:val="22"/>
          <w:szCs w:val="22"/>
        </w:rPr>
        <w:t>ante el</w:t>
      </w:r>
      <w:r w:rsidRPr="00E92413">
        <w:rPr>
          <w:rFonts w:ascii="Palatino Linotype" w:hAnsi="Palatino Linotype"/>
          <w:sz w:val="22"/>
          <w:szCs w:val="22"/>
        </w:rPr>
        <w:t xml:space="preserve"> Instituto Nacional Electoral (INE), por lo</w:t>
      </w:r>
      <w:r>
        <w:rPr>
          <w:rFonts w:ascii="Palatino Linotype" w:hAnsi="Palatino Linotype"/>
          <w:sz w:val="22"/>
          <w:szCs w:val="22"/>
        </w:rPr>
        <w:t xml:space="preserve"> que no es posible realizar el cobro, hasta en tanto el interventor designado o la autoridad administrativa electoral correspondiente determine lo conducente, </w:t>
      </w:r>
      <w:r w:rsidRPr="00E92413">
        <w:rPr>
          <w:rFonts w:ascii="Palatino Linotype" w:hAnsi="Palatino Linotype"/>
          <w:sz w:val="22"/>
          <w:szCs w:val="22"/>
        </w:rPr>
        <w:t xml:space="preserve">cabe señalar que hasta la presente fecha </w:t>
      </w:r>
      <w:r w:rsidRPr="00D6114A">
        <w:rPr>
          <w:rFonts w:ascii="Palatino Linotype" w:hAnsi="Palatino Linotype"/>
          <w:sz w:val="22"/>
          <w:szCs w:val="22"/>
        </w:rPr>
        <w:t>este Instituto Electoral</w:t>
      </w:r>
      <w:r w:rsidRPr="00E92413">
        <w:rPr>
          <w:rFonts w:ascii="Palatino Linotype" w:hAnsi="Palatino Linotype"/>
          <w:sz w:val="22"/>
          <w:szCs w:val="22"/>
        </w:rPr>
        <w:t xml:space="preserve"> no ha sido notificado de manera oficial la conclusión de dicho proceso de </w:t>
      </w:r>
      <w:r>
        <w:rPr>
          <w:rFonts w:ascii="Palatino Linotype" w:hAnsi="Palatino Linotype"/>
          <w:sz w:val="22"/>
          <w:szCs w:val="22"/>
        </w:rPr>
        <w:t>liquidación.</w:t>
      </w:r>
    </w:p>
    <w:p w:rsidR="00A548F0" w:rsidRDefault="00A548F0" w:rsidP="00A548F0">
      <w:pPr>
        <w:jc w:val="both"/>
        <w:rPr>
          <w:rFonts w:ascii="Palatino Linotype" w:hAnsi="Palatino Linotype"/>
          <w:b/>
          <w:sz w:val="22"/>
          <w:szCs w:val="22"/>
        </w:rPr>
      </w:pPr>
    </w:p>
    <w:p w:rsidR="00A548F0" w:rsidRPr="00FD0391" w:rsidRDefault="00A548F0" w:rsidP="00A548F0">
      <w:pPr>
        <w:tabs>
          <w:tab w:val="left" w:pos="9356"/>
        </w:tabs>
        <w:ind w:right="48"/>
        <w:jc w:val="both"/>
        <w:rPr>
          <w:rFonts w:ascii="Palatino Linotype" w:eastAsia="Calibri" w:hAnsi="Palatino Linotype" w:cs="Arial"/>
          <w:sz w:val="22"/>
          <w:szCs w:val="22"/>
        </w:rPr>
      </w:pPr>
      <w:r>
        <w:rPr>
          <w:rFonts w:ascii="Palatino Linotype" w:hAnsi="Palatino Linotype" w:cs="Arial"/>
          <w:sz w:val="22"/>
          <w:szCs w:val="22"/>
        </w:rPr>
        <w:t xml:space="preserve">Con este referente, </w:t>
      </w:r>
      <w:r w:rsidRPr="00D6114A">
        <w:rPr>
          <w:rFonts w:ascii="Palatino Linotype" w:hAnsi="Palatino Linotype" w:cs="Arial"/>
          <w:sz w:val="22"/>
          <w:szCs w:val="22"/>
        </w:rPr>
        <w:t xml:space="preserve">el </w:t>
      </w:r>
      <w:r w:rsidRPr="00D6114A">
        <w:rPr>
          <w:rFonts w:ascii="Palatino Linotype" w:hAnsi="Palatino Linotype" w:cs="Arial"/>
          <w:i/>
          <w:sz w:val="22"/>
          <w:szCs w:val="22"/>
        </w:rPr>
        <w:t>“</w:t>
      </w:r>
      <w:r w:rsidRPr="00D6114A">
        <w:rPr>
          <w:rFonts w:ascii="Palatino Linotype" w:eastAsia="Calibri" w:hAnsi="Palatino Linotype" w:cs="Arial"/>
          <w:i/>
          <w:sz w:val="22"/>
          <w:szCs w:val="22"/>
        </w:rPr>
        <w:t>Anexo de Ejecución I”</w:t>
      </w:r>
      <w:r w:rsidRPr="00D6114A">
        <w:rPr>
          <w:rFonts w:ascii="Palatino Linotype" w:eastAsia="Calibri" w:hAnsi="Palatino Linotype" w:cs="Arial"/>
          <w:sz w:val="22"/>
          <w:szCs w:val="22"/>
        </w:rPr>
        <w:t xml:space="preserve"> derivado del Convenio de Colaboración celebrado entre el Instituto Electoral del Estado de Campeche y el </w:t>
      </w:r>
      <w:r w:rsidRPr="00D6114A">
        <w:rPr>
          <w:rFonts w:ascii="Palatino Linotype" w:hAnsi="Palatino Linotype"/>
        </w:rPr>
        <w:t xml:space="preserve">Consejo Estatal de Investigación Científica y Desarrollo Tecnológico de Campeche (COESICYDET) </w:t>
      </w:r>
      <w:r w:rsidRPr="00D6114A">
        <w:rPr>
          <w:rFonts w:ascii="Palatino Linotype" w:eastAsia="Calibri" w:hAnsi="Palatino Linotype" w:cs="Arial"/>
          <w:sz w:val="22"/>
          <w:szCs w:val="22"/>
        </w:rPr>
        <w:t>citado en la respuesta de la pregunta que antecede describe a detalle que</w:t>
      </w:r>
      <w:r w:rsidRPr="00D6114A">
        <w:rPr>
          <w:rFonts w:ascii="Palatino Linotype" w:hAnsi="Palatino Linotype" w:cs="Arial"/>
          <w:sz w:val="22"/>
          <w:szCs w:val="22"/>
        </w:rPr>
        <w:t xml:space="preserve"> este Instituto Electoral transferirá</w:t>
      </w:r>
      <w:r>
        <w:rPr>
          <w:rFonts w:ascii="Palatino Linotype" w:hAnsi="Palatino Linotype" w:cs="Arial"/>
          <w:sz w:val="22"/>
          <w:szCs w:val="22"/>
        </w:rPr>
        <w:t xml:space="preserve"> </w:t>
      </w:r>
      <w:r w:rsidRPr="00FD0391">
        <w:rPr>
          <w:rFonts w:ascii="Palatino Linotype" w:hAnsi="Palatino Linotype" w:cs="Arial"/>
          <w:sz w:val="22"/>
          <w:szCs w:val="22"/>
        </w:rPr>
        <w:t xml:space="preserve">la cantidad de $2,893,206.04 (SON: </w:t>
      </w:r>
      <w:r w:rsidRPr="00FD0391">
        <w:rPr>
          <w:rFonts w:ascii="Palatino Linotype" w:hAnsi="Palatino Linotype" w:cs="Arial"/>
          <w:bCs/>
          <w:sz w:val="22"/>
          <w:szCs w:val="22"/>
          <w:shd w:val="clear" w:color="auto" w:fill="FFFFFF"/>
        </w:rPr>
        <w:t>DOS MILLONES, OCHOCIENTOS NOVENTA Y TRES MIL, DOSCIENTOS SEIS PESOS, 04/100 M.N.)</w:t>
      </w:r>
      <w:r w:rsidRPr="00FD0391">
        <w:rPr>
          <w:rFonts w:ascii="Palatino Linotype" w:hAnsi="Palatino Linotype" w:cs="Arial"/>
          <w:b/>
          <w:bCs/>
          <w:sz w:val="22"/>
          <w:szCs w:val="22"/>
          <w:shd w:val="clear" w:color="auto" w:fill="FFFFFF"/>
        </w:rPr>
        <w:t xml:space="preserve"> </w:t>
      </w:r>
      <w:r w:rsidRPr="00FD0391">
        <w:rPr>
          <w:rFonts w:ascii="Palatino Linotype" w:hAnsi="Palatino Linotype" w:cs="Arial"/>
          <w:bCs/>
          <w:sz w:val="22"/>
          <w:szCs w:val="22"/>
          <w:shd w:val="clear" w:color="auto" w:fill="FFFFFF"/>
        </w:rPr>
        <w:t>a</w:t>
      </w:r>
      <w:r>
        <w:rPr>
          <w:rFonts w:ascii="Palatino Linotype" w:hAnsi="Palatino Linotype" w:cs="Arial"/>
          <w:bCs/>
          <w:sz w:val="22"/>
          <w:szCs w:val="22"/>
          <w:shd w:val="clear" w:color="auto" w:fill="FFFFFF"/>
        </w:rPr>
        <w:t>l</w:t>
      </w:r>
      <w:r w:rsidRPr="00FD0391">
        <w:rPr>
          <w:rFonts w:ascii="Palatino Linotype" w:hAnsi="Palatino Linotype" w:cs="Arial"/>
          <w:bCs/>
          <w:sz w:val="22"/>
          <w:szCs w:val="22"/>
          <w:shd w:val="clear" w:color="auto" w:fill="FFFFFF"/>
        </w:rPr>
        <w:t xml:space="preserve"> </w:t>
      </w:r>
      <w:r w:rsidRPr="00F87E0C">
        <w:rPr>
          <w:rFonts w:ascii="Palatino Linotype" w:hAnsi="Palatino Linotype"/>
          <w:color w:val="000000"/>
          <w:sz w:val="22"/>
          <w:szCs w:val="22"/>
          <w:shd w:val="clear" w:color="auto" w:fill="FFFFFF"/>
        </w:rPr>
        <w:t>Consejo Estatal de Investigación Científica y Desarrollo Tecnológico de Campeche</w:t>
      </w:r>
      <w:r w:rsidRPr="00FD0391">
        <w:rPr>
          <w:rFonts w:ascii="Palatino Linotype" w:eastAsia="Calibri" w:hAnsi="Palatino Linotype" w:cs="Arial"/>
          <w:sz w:val="22"/>
          <w:szCs w:val="22"/>
        </w:rPr>
        <w:t xml:space="preserve">, </w:t>
      </w:r>
      <w:r>
        <w:rPr>
          <w:rFonts w:ascii="Palatino Linotype" w:eastAsia="Calibri" w:hAnsi="Palatino Linotype" w:cs="Arial"/>
          <w:sz w:val="22"/>
          <w:szCs w:val="22"/>
        </w:rPr>
        <w:t>y que l</w:t>
      </w:r>
      <w:r w:rsidRPr="00FD0391">
        <w:rPr>
          <w:rFonts w:ascii="Palatino Linotype" w:eastAsia="Calibri" w:hAnsi="Palatino Linotype" w:cs="Arial"/>
          <w:sz w:val="22"/>
          <w:szCs w:val="22"/>
        </w:rPr>
        <w:t xml:space="preserve">as transferencias se realizarán de manera </w:t>
      </w:r>
      <w:r w:rsidRPr="00FD0391">
        <w:rPr>
          <w:rFonts w:ascii="Palatino Linotype" w:hAnsi="Palatino Linotype" w:cs="Arial"/>
          <w:sz w:val="22"/>
          <w:szCs w:val="22"/>
        </w:rPr>
        <w:t>mensual o según lo determine</w:t>
      </w:r>
      <w:r>
        <w:rPr>
          <w:rFonts w:ascii="Palatino Linotype" w:hAnsi="Palatino Linotype" w:cs="Arial"/>
          <w:sz w:val="22"/>
          <w:szCs w:val="22"/>
        </w:rPr>
        <w:t xml:space="preserve"> el citado Instituto</w:t>
      </w:r>
      <w:r w:rsidRPr="00FD0391">
        <w:rPr>
          <w:rFonts w:ascii="Palatino Linotype" w:hAnsi="Palatino Linotype" w:cs="Arial"/>
          <w:sz w:val="22"/>
          <w:szCs w:val="22"/>
        </w:rPr>
        <w:t>, de acuerdo a las cantidades que vaya descontando de las ministraciones de los partidos políticos multados, hasta completar el total de las multas impuestas.</w:t>
      </w:r>
      <w:r w:rsidRPr="00FD0391">
        <w:rPr>
          <w:rFonts w:ascii="Palatino Linotype" w:hAnsi="Palatino Linotype" w:cs="Arial"/>
          <w:bCs/>
          <w:sz w:val="22"/>
          <w:szCs w:val="22"/>
          <w:shd w:val="clear" w:color="auto" w:fill="FFFFFF"/>
        </w:rPr>
        <w:t xml:space="preserve"> </w:t>
      </w:r>
      <w:r>
        <w:rPr>
          <w:rFonts w:ascii="Palatino Linotype" w:hAnsi="Palatino Linotype" w:cs="Arial"/>
          <w:bCs/>
          <w:sz w:val="22"/>
          <w:szCs w:val="22"/>
          <w:shd w:val="clear" w:color="auto" w:fill="FFFFFF"/>
        </w:rPr>
        <w:t xml:space="preserve">Agrega </w:t>
      </w:r>
      <w:r w:rsidRPr="00D6114A">
        <w:rPr>
          <w:rFonts w:ascii="Palatino Linotype" w:hAnsi="Palatino Linotype" w:cs="Arial"/>
          <w:bCs/>
          <w:sz w:val="22"/>
          <w:szCs w:val="22"/>
          <w:shd w:val="clear" w:color="auto" w:fill="FFFFFF"/>
        </w:rPr>
        <w:t>también,</w:t>
      </w:r>
      <w:r>
        <w:rPr>
          <w:rFonts w:ascii="Palatino Linotype" w:hAnsi="Palatino Linotype" w:cs="Arial"/>
          <w:bCs/>
          <w:sz w:val="22"/>
          <w:szCs w:val="22"/>
          <w:shd w:val="clear" w:color="auto" w:fill="FFFFFF"/>
        </w:rPr>
        <w:t xml:space="preserve"> que e</w:t>
      </w:r>
      <w:r w:rsidRPr="00FD0391">
        <w:rPr>
          <w:rFonts w:ascii="Palatino Linotype" w:hAnsi="Palatino Linotype" w:cs="Arial"/>
          <w:sz w:val="22"/>
          <w:szCs w:val="22"/>
        </w:rPr>
        <w:t>l Instituto Electoral del Estado</w:t>
      </w:r>
      <w:r w:rsidRPr="00FD0391">
        <w:rPr>
          <w:rFonts w:ascii="Palatino Linotype" w:hAnsi="Palatino Linotype" w:cs="Arial"/>
          <w:bCs/>
          <w:sz w:val="22"/>
          <w:szCs w:val="22"/>
          <w:shd w:val="clear" w:color="auto" w:fill="FFFFFF"/>
        </w:rPr>
        <w:t xml:space="preserve"> transferirá los recursos </w:t>
      </w:r>
      <w:r w:rsidRPr="00FD0391">
        <w:rPr>
          <w:rFonts w:ascii="Palatino Linotype" w:eastAsia="Calibri" w:hAnsi="Palatino Linotype" w:cs="Arial"/>
          <w:sz w:val="22"/>
          <w:szCs w:val="22"/>
        </w:rPr>
        <w:t xml:space="preserve">obtenidos de las sanciones económicas que el Instituto Nacional Electoral imponga a los partidos políticos </w:t>
      </w:r>
      <w:r w:rsidRPr="00FD0391">
        <w:rPr>
          <w:rFonts w:ascii="Palatino Linotype" w:eastAsia="Calibri" w:hAnsi="Palatino Linotype" w:cs="Arial"/>
          <w:sz w:val="22"/>
          <w:szCs w:val="22"/>
        </w:rPr>
        <w:lastRenderedPageBreak/>
        <w:t>para ser destinados a la promoción, fomento y desarrollo de la ciencia, tecnología e innovación</w:t>
      </w:r>
      <w:r>
        <w:rPr>
          <w:rFonts w:ascii="Palatino Linotype" w:eastAsia="Calibri" w:hAnsi="Palatino Linotype" w:cs="Arial"/>
          <w:sz w:val="22"/>
          <w:szCs w:val="22"/>
        </w:rPr>
        <w:t xml:space="preserve"> en el Estado</w:t>
      </w:r>
      <w:r w:rsidRPr="00FD0391">
        <w:rPr>
          <w:rFonts w:ascii="Palatino Linotype" w:eastAsia="Calibri" w:hAnsi="Palatino Linotype" w:cs="Arial"/>
          <w:sz w:val="22"/>
          <w:szCs w:val="22"/>
        </w:rPr>
        <w:t xml:space="preserve">, ajustándose al presupuesto entregado por la Secretaría de Finanzas del Gobierno del Estado, toda vez que las ministraciones </w:t>
      </w:r>
      <w:r>
        <w:rPr>
          <w:rFonts w:ascii="Palatino Linotype" w:eastAsia="Calibri" w:hAnsi="Palatino Linotype" w:cs="Arial"/>
          <w:sz w:val="22"/>
          <w:szCs w:val="22"/>
        </w:rPr>
        <w:t>entregadas</w:t>
      </w:r>
      <w:r w:rsidRPr="00FD0391">
        <w:rPr>
          <w:rFonts w:ascii="Palatino Linotype" w:eastAsia="Calibri" w:hAnsi="Palatino Linotype" w:cs="Arial"/>
          <w:sz w:val="22"/>
          <w:szCs w:val="22"/>
        </w:rPr>
        <w:t xml:space="preserve"> a los partidos políticos está</w:t>
      </w:r>
      <w:r>
        <w:rPr>
          <w:rFonts w:ascii="Palatino Linotype" w:eastAsia="Calibri" w:hAnsi="Palatino Linotype" w:cs="Arial"/>
          <w:sz w:val="22"/>
          <w:szCs w:val="22"/>
        </w:rPr>
        <w:t>n</w:t>
      </w:r>
      <w:r w:rsidRPr="00FD0391">
        <w:rPr>
          <w:rFonts w:ascii="Palatino Linotype" w:eastAsia="Calibri" w:hAnsi="Palatino Linotype" w:cs="Arial"/>
          <w:sz w:val="22"/>
          <w:szCs w:val="22"/>
        </w:rPr>
        <w:t xml:space="preserve"> sujeto</w:t>
      </w:r>
      <w:r>
        <w:rPr>
          <w:rFonts w:ascii="Palatino Linotype" w:eastAsia="Calibri" w:hAnsi="Palatino Linotype" w:cs="Arial"/>
          <w:sz w:val="22"/>
          <w:szCs w:val="22"/>
        </w:rPr>
        <w:t>s</w:t>
      </w:r>
      <w:r w:rsidRPr="00FD0391">
        <w:rPr>
          <w:rFonts w:ascii="Palatino Linotype" w:eastAsia="Calibri" w:hAnsi="Palatino Linotype" w:cs="Arial"/>
          <w:sz w:val="22"/>
          <w:szCs w:val="22"/>
        </w:rPr>
        <w:t xml:space="preserve"> al mismo.</w:t>
      </w:r>
    </w:p>
    <w:p w:rsidR="00A548F0" w:rsidRPr="004A56BF" w:rsidRDefault="00A548F0" w:rsidP="00A548F0">
      <w:pPr>
        <w:jc w:val="both"/>
        <w:rPr>
          <w:rFonts w:ascii="Palatino Linotype" w:hAnsi="Palatino Linotype"/>
          <w:b/>
          <w:sz w:val="22"/>
          <w:szCs w:val="22"/>
        </w:rPr>
      </w:pPr>
    </w:p>
    <w:p w:rsidR="00A548F0" w:rsidRPr="005C7C5F" w:rsidRDefault="00A548F0" w:rsidP="00A548F0">
      <w:pPr>
        <w:pStyle w:val="Prrafodelista"/>
        <w:numPr>
          <w:ilvl w:val="0"/>
          <w:numId w:val="1"/>
        </w:numPr>
        <w:jc w:val="both"/>
        <w:rPr>
          <w:rFonts w:ascii="Palatino Linotype" w:hAnsi="Palatino Linotype"/>
          <w:b/>
          <w:sz w:val="22"/>
          <w:szCs w:val="22"/>
        </w:rPr>
      </w:pPr>
      <w:r w:rsidRPr="005C7C5F">
        <w:rPr>
          <w:rFonts w:ascii="Palatino Linotype" w:hAnsi="Palatino Linotype"/>
          <w:b/>
          <w:sz w:val="22"/>
          <w:szCs w:val="22"/>
        </w:rPr>
        <w:t>¿Qué sucede cuando los sancionados no tienen capital o prerrogativas suficientes para pagar la multa?</w:t>
      </w:r>
    </w:p>
    <w:p w:rsidR="00A548F0" w:rsidRPr="00E24961" w:rsidRDefault="00A548F0" w:rsidP="00A548F0">
      <w:pPr>
        <w:pStyle w:val="Prrafodelista"/>
        <w:jc w:val="both"/>
        <w:rPr>
          <w:rFonts w:ascii="Palatino Linotype" w:hAnsi="Palatino Linotype"/>
          <w:b/>
          <w:sz w:val="22"/>
          <w:szCs w:val="22"/>
        </w:rPr>
      </w:pPr>
    </w:p>
    <w:p w:rsidR="00A548F0" w:rsidRPr="00784E7A" w:rsidRDefault="00A548F0" w:rsidP="00A548F0">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Al respecto, en principio se le hace del conocimiento al solicitante que el</w:t>
      </w:r>
      <w:r w:rsidRPr="00784E7A">
        <w:rPr>
          <w:rFonts w:ascii="Palatino Linotype" w:hAnsi="Palatino Linotype"/>
          <w:sz w:val="22"/>
          <w:szCs w:val="22"/>
        </w:rPr>
        <w:t xml:space="preserve"> cobro de </w:t>
      </w:r>
      <w:r>
        <w:rPr>
          <w:rFonts w:ascii="Palatino Linotype" w:hAnsi="Palatino Linotype"/>
          <w:sz w:val="22"/>
          <w:szCs w:val="22"/>
        </w:rPr>
        <w:t>los recursos obtenidos de las sanciones económicas impuestas a los partidos políticos se les</w:t>
      </w:r>
      <w:r w:rsidRPr="00784E7A">
        <w:rPr>
          <w:rFonts w:ascii="Palatino Linotype" w:hAnsi="Palatino Linotype"/>
          <w:sz w:val="22"/>
          <w:szCs w:val="22"/>
        </w:rPr>
        <w:t xml:space="preserve"> prorratea a mensualidades que le permitan continuar</w:t>
      </w:r>
      <w:r>
        <w:rPr>
          <w:rFonts w:ascii="Palatino Linotype" w:hAnsi="Palatino Linotype"/>
          <w:sz w:val="22"/>
          <w:szCs w:val="22"/>
        </w:rPr>
        <w:t xml:space="preserve"> con sus compromisos de trabajo, tal y como se mencionó en la respuesta a la pregunta marcada con el número 1; </w:t>
      </w:r>
      <w:r w:rsidRPr="00D6114A">
        <w:rPr>
          <w:rFonts w:ascii="Palatino Linotype" w:hAnsi="Palatino Linotype"/>
          <w:sz w:val="22"/>
          <w:szCs w:val="22"/>
        </w:rPr>
        <w:t>ahora bien, para el</w:t>
      </w:r>
      <w:r w:rsidRPr="00784E7A">
        <w:rPr>
          <w:rFonts w:ascii="Palatino Linotype" w:hAnsi="Palatino Linotype"/>
          <w:sz w:val="22"/>
          <w:szCs w:val="22"/>
        </w:rPr>
        <w:t xml:space="preserve"> caso de que estos no cuenten con financiamiento disponible p</w:t>
      </w:r>
      <w:r>
        <w:rPr>
          <w:rFonts w:ascii="Palatino Linotype" w:hAnsi="Palatino Linotype"/>
          <w:sz w:val="22"/>
          <w:szCs w:val="22"/>
        </w:rPr>
        <w:t xml:space="preserve">ara el descuento de las multas, </w:t>
      </w:r>
      <w:r w:rsidRPr="00784E7A">
        <w:rPr>
          <w:rFonts w:ascii="Palatino Linotype" w:hAnsi="Palatino Linotype"/>
          <w:sz w:val="22"/>
          <w:szCs w:val="22"/>
        </w:rPr>
        <w:t>se turnarán a la Secretaría de Finanzas y Administración Pública del Estado para el cobro correspondiente. Si se tratare de ciudadanos, aspirantes, dirigentes, miembros, candidatos o simpatizantes y candidatos independientes, el cobro de la multa se hará a través del procedimiento económico coactivo a cargo de la Secretaría de Finanzas y Administración del Gobierno del Estado</w:t>
      </w:r>
      <w:r>
        <w:rPr>
          <w:rFonts w:ascii="Palatino Linotype" w:hAnsi="Palatino Linotype"/>
          <w:sz w:val="22"/>
          <w:szCs w:val="22"/>
        </w:rPr>
        <w:t>; lo anterior tal y como se describe en el artículo 619 de la Ley de Instituciones y Procedimientos Electorales del Estado de Campeche</w:t>
      </w:r>
      <w:r w:rsidRPr="00784E7A">
        <w:rPr>
          <w:rFonts w:ascii="Palatino Linotype" w:hAnsi="Palatino Linotype"/>
          <w:sz w:val="22"/>
          <w:szCs w:val="22"/>
        </w:rPr>
        <w:t xml:space="preserve">. </w:t>
      </w:r>
    </w:p>
    <w:p w:rsidR="00A548F0" w:rsidRPr="00E24961" w:rsidRDefault="00A548F0" w:rsidP="00A548F0">
      <w:pPr>
        <w:jc w:val="both"/>
        <w:rPr>
          <w:rFonts w:ascii="Palatino Linotype" w:hAnsi="Palatino Linotype"/>
          <w:b/>
          <w:sz w:val="22"/>
          <w:szCs w:val="22"/>
        </w:rPr>
      </w:pPr>
    </w:p>
    <w:p w:rsidR="00A548F0" w:rsidRDefault="00A548F0" w:rsidP="00A548F0">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¿A partir de qué momento se descuenta el dinero de las prerrogativas para pagar la multa?</w:t>
      </w:r>
    </w:p>
    <w:p w:rsidR="00A548F0" w:rsidRPr="00E24961" w:rsidRDefault="00A548F0" w:rsidP="00A548F0">
      <w:pPr>
        <w:pStyle w:val="Prrafodelista"/>
        <w:jc w:val="both"/>
        <w:rPr>
          <w:rFonts w:ascii="Palatino Linotype" w:hAnsi="Palatino Linotype"/>
          <w:b/>
          <w:sz w:val="22"/>
          <w:szCs w:val="22"/>
        </w:rPr>
      </w:pPr>
    </w:p>
    <w:p w:rsidR="00A548F0" w:rsidRPr="005A17C9" w:rsidRDefault="00A548F0" w:rsidP="00A548F0">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Las multas y sanciones hasta ahora impuestas derivan de la resolución INE/CG775/2015 del Consejo General del Instituto Nacional Electoral, de fecha 12 de agosto de 2015, en cuyos puntos resolutivos VIGÉSIMO se instruyó al Instituto Electoral a notificar a los partidos políticos nacionales con registro local su contenido, y en el DÉCIMO SÉPTIMO instruyó que las multas y sanciones sean pagadas ante este Instituto Electoral, las cuales se harán efectivas a partir del mes siguiente a aquél en el que la resolución haya causado estado, para mayor abundancia, se le hace del conocimiento al solicitante que el detalle de los descuentos efectuados a dichos partidos políticos quedó de manifiesto en la respuesta que antecede.</w:t>
      </w:r>
    </w:p>
    <w:p w:rsidR="00A548F0" w:rsidRPr="00E24961" w:rsidRDefault="00A548F0" w:rsidP="00A548F0">
      <w:pPr>
        <w:jc w:val="both"/>
        <w:rPr>
          <w:rFonts w:ascii="Palatino Linotype" w:hAnsi="Palatino Linotype"/>
          <w:sz w:val="22"/>
          <w:szCs w:val="22"/>
        </w:rPr>
      </w:pPr>
    </w:p>
    <w:p w:rsidR="00A548F0" w:rsidRDefault="00A548F0"/>
    <w:sectPr w:rsidR="00A548F0" w:rsidSect="00243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953"/>
    <w:multiLevelType w:val="hybridMultilevel"/>
    <w:tmpl w:val="34EA5E2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7362AA2"/>
    <w:multiLevelType w:val="hybridMultilevel"/>
    <w:tmpl w:val="1CDA5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8F0"/>
    <w:rsid w:val="00243655"/>
    <w:rsid w:val="00A548F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F0"/>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548F0"/>
    <w:rPr>
      <w:color w:val="0000FF"/>
      <w:u w:val="single"/>
    </w:rPr>
  </w:style>
  <w:style w:type="paragraph" w:styleId="Prrafodelista">
    <w:name w:val="List Paragraph"/>
    <w:basedOn w:val="Normal"/>
    <w:uiPriority w:val="34"/>
    <w:qFormat/>
    <w:rsid w:val="00A548F0"/>
    <w:pPr>
      <w:ind w:left="720"/>
      <w:contextualSpacing/>
    </w:pPr>
  </w:style>
  <w:style w:type="paragraph" w:styleId="Sinespaciado">
    <w:name w:val="No Spacing"/>
    <w:uiPriority w:val="1"/>
    <w:qFormat/>
    <w:rsid w:val="00A548F0"/>
    <w:pPr>
      <w:spacing w:after="0" w:line="240" w:lineRule="auto"/>
    </w:pPr>
  </w:style>
  <w:style w:type="character" w:customStyle="1" w:styleId="apple-converted-space">
    <w:name w:val="apple-converted-space"/>
    <w:basedOn w:val="Fuentedeprrafopredeter"/>
    <w:rsid w:val="00A548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mx" TargetMode="External"/><Relationship Id="rId3" Type="http://schemas.openxmlformats.org/officeDocument/2006/relationships/settings" Target="settings.xml"/><Relationship Id="rId7" Type="http://schemas.openxmlformats.org/officeDocument/2006/relationships/hyperlink" Target="http://www.ieec.org.mx/transparencia/doctos/X/F/2016/Anexo_de_convenio_marco_transferencia_recursos_por_sanciones_a_partidos_politic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transparencia/doctos/X/F/2016/Convenio_marco_transferencia_recursos_por_sanciones_a_partidos_politicos.pdf" TargetMode="External"/><Relationship Id="rId11" Type="http://schemas.openxmlformats.org/officeDocument/2006/relationships/theme" Target="theme/theme1.xml"/><Relationship Id="rId5" Type="http://schemas.openxmlformats.org/officeDocument/2006/relationships/hyperlink" Target="http://www.ieec.org.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e.mx/archivos3/portal/historico/recursos/IFE-v2/DS/DS-CG/DS-SesionesCG/CG-resoluciones/2015/08_Agosto/CGex201508-12_02/CGex2_201508-12_rp_3_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12430</Characters>
  <Application>Microsoft Office Word</Application>
  <DocSecurity>0</DocSecurity>
  <Lines>103</Lines>
  <Paragraphs>29</Paragraphs>
  <ScaleCrop>false</ScaleCrop>
  <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2017-02-01T19:48:00Z</dcterms:created>
  <dcterms:modified xsi:type="dcterms:W3CDTF">2017-02-01T19:48:00Z</dcterms:modified>
</cp:coreProperties>
</file>