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91" w:rsidRDefault="00B742F1" w:rsidP="00B742F1">
      <w:pPr>
        <w:jc w:val="center"/>
        <w:rPr>
          <w:b/>
        </w:rPr>
      </w:pPr>
      <w:r>
        <w:rPr>
          <w:b/>
        </w:rPr>
        <w:t>RESPUESTA 0100345416</w:t>
      </w:r>
    </w:p>
    <w:p w:rsidR="00B742F1" w:rsidRPr="00B742F1" w:rsidRDefault="00B742F1" w:rsidP="00B742F1">
      <w:pPr>
        <w:jc w:val="center"/>
        <w:rPr>
          <w:b/>
        </w:rPr>
      </w:pPr>
    </w:p>
    <w:p w:rsidR="00B742F1" w:rsidRDefault="00B742F1" w:rsidP="00B742F1">
      <w:pPr>
        <w:pStyle w:val="Sinespaciado"/>
        <w:jc w:val="both"/>
        <w:rPr>
          <w:rFonts w:ascii="Palatino Linotype" w:hAnsi="Palatino Linotype"/>
        </w:rPr>
      </w:pPr>
      <w:r>
        <w:rPr>
          <w:rFonts w:ascii="Palatino Linotype" w:hAnsi="Palatino Linotype"/>
        </w:rPr>
        <w:t>Resulta procedente permitir el acceso a la información referente al monto aprobado por el Consejo General como percepción económica (bruto y neto) de los organismos electorales distritales y municipales durante el último periodo electoral, así como el número de integrantes de los mismos, contenidos en tablas que se adjuntan a continuación:</w:t>
      </w:r>
    </w:p>
    <w:p w:rsidR="00B742F1" w:rsidRDefault="00B742F1" w:rsidP="00B742F1">
      <w:pPr>
        <w:pStyle w:val="Sinespaciado"/>
        <w:jc w:val="both"/>
        <w:rPr>
          <w:rFonts w:ascii="Palatino Linotype" w:hAnsi="Palatino Linotype"/>
        </w:rPr>
      </w:pPr>
    </w:p>
    <w:p w:rsidR="00B742F1" w:rsidRDefault="00B742F1" w:rsidP="00B742F1">
      <w:pPr>
        <w:pStyle w:val="Sinespaciado"/>
        <w:jc w:val="both"/>
        <w:rPr>
          <w:rFonts w:ascii="Palatino Linotype" w:hAnsi="Palatino Linotype"/>
        </w:rPr>
      </w:pPr>
    </w:p>
    <w:tbl>
      <w:tblPr>
        <w:tblStyle w:val="Tablaconcuadrcula"/>
        <w:tblW w:w="0" w:type="auto"/>
        <w:tblLook w:val="04A0"/>
      </w:tblPr>
      <w:tblGrid>
        <w:gridCol w:w="4513"/>
        <w:gridCol w:w="2361"/>
        <w:gridCol w:w="2180"/>
      </w:tblGrid>
      <w:tr w:rsidR="00B742F1" w:rsidTr="009A611D">
        <w:tc>
          <w:tcPr>
            <w:tcW w:w="4928" w:type="dxa"/>
            <w:vMerge w:val="restart"/>
            <w:shd w:val="clear" w:color="auto" w:fill="D9D9D9" w:themeFill="background1" w:themeFillShade="D9"/>
            <w:vAlign w:val="center"/>
          </w:tcPr>
          <w:p w:rsidR="00B742F1" w:rsidRPr="0083296E" w:rsidRDefault="00B742F1" w:rsidP="009A611D">
            <w:pPr>
              <w:pStyle w:val="Sinespaciado"/>
              <w:jc w:val="center"/>
              <w:rPr>
                <w:rFonts w:ascii="Palatino Linotype" w:hAnsi="Palatino Linotype"/>
                <w:b/>
              </w:rPr>
            </w:pPr>
            <w:r>
              <w:rPr>
                <w:rFonts w:ascii="Palatino Linotype" w:hAnsi="Palatino Linotype"/>
                <w:b/>
              </w:rPr>
              <w:t>PUESTO</w:t>
            </w:r>
          </w:p>
        </w:tc>
        <w:tc>
          <w:tcPr>
            <w:tcW w:w="4616" w:type="dxa"/>
            <w:gridSpan w:val="2"/>
            <w:shd w:val="clear" w:color="auto" w:fill="D9D9D9" w:themeFill="background1" w:themeFillShade="D9"/>
            <w:vAlign w:val="center"/>
          </w:tcPr>
          <w:p w:rsidR="00B742F1" w:rsidRPr="0083296E" w:rsidRDefault="00B742F1" w:rsidP="009A611D">
            <w:pPr>
              <w:pStyle w:val="Sinespaciado"/>
              <w:jc w:val="center"/>
              <w:rPr>
                <w:rFonts w:ascii="Palatino Linotype" w:hAnsi="Palatino Linotype"/>
                <w:b/>
              </w:rPr>
            </w:pPr>
            <w:r>
              <w:rPr>
                <w:rFonts w:ascii="Palatino Linotype" w:hAnsi="Palatino Linotype"/>
                <w:b/>
              </w:rPr>
              <w:t>MENSUAL</w:t>
            </w:r>
          </w:p>
        </w:tc>
      </w:tr>
      <w:tr w:rsidR="00B742F1" w:rsidTr="009A611D">
        <w:tc>
          <w:tcPr>
            <w:tcW w:w="4928" w:type="dxa"/>
            <w:vMerge/>
            <w:shd w:val="clear" w:color="auto" w:fill="D9D9D9" w:themeFill="background1" w:themeFillShade="D9"/>
            <w:vAlign w:val="center"/>
          </w:tcPr>
          <w:p w:rsidR="00B742F1" w:rsidRPr="0083296E" w:rsidRDefault="00B742F1" w:rsidP="009A611D">
            <w:pPr>
              <w:pStyle w:val="Sinespaciado"/>
              <w:jc w:val="center"/>
              <w:rPr>
                <w:rFonts w:ascii="Palatino Linotype" w:hAnsi="Palatino Linotype"/>
                <w:b/>
              </w:rPr>
            </w:pPr>
          </w:p>
        </w:tc>
        <w:tc>
          <w:tcPr>
            <w:tcW w:w="2410" w:type="dxa"/>
            <w:shd w:val="clear" w:color="auto" w:fill="D9D9D9" w:themeFill="background1" w:themeFillShade="D9"/>
            <w:vAlign w:val="center"/>
          </w:tcPr>
          <w:p w:rsidR="00B742F1" w:rsidRPr="0083296E" w:rsidRDefault="00B742F1" w:rsidP="009A611D">
            <w:pPr>
              <w:pStyle w:val="Sinespaciado"/>
              <w:jc w:val="center"/>
              <w:rPr>
                <w:rFonts w:ascii="Palatino Linotype" w:hAnsi="Palatino Linotype"/>
                <w:b/>
                <w:sz w:val="20"/>
                <w:szCs w:val="20"/>
              </w:rPr>
            </w:pPr>
            <w:r>
              <w:rPr>
                <w:rFonts w:ascii="Palatino Linotype" w:hAnsi="Palatino Linotype"/>
                <w:b/>
                <w:sz w:val="20"/>
                <w:szCs w:val="20"/>
              </w:rPr>
              <w:t>REMUNERACIÓN BRUTA MENSUAL</w:t>
            </w:r>
          </w:p>
        </w:tc>
        <w:tc>
          <w:tcPr>
            <w:tcW w:w="2206" w:type="dxa"/>
            <w:shd w:val="clear" w:color="auto" w:fill="D9D9D9" w:themeFill="background1" w:themeFillShade="D9"/>
            <w:vAlign w:val="center"/>
          </w:tcPr>
          <w:p w:rsidR="00B742F1" w:rsidRPr="0083296E" w:rsidRDefault="00B742F1" w:rsidP="009A611D">
            <w:pPr>
              <w:pStyle w:val="Sinespaciado"/>
              <w:jc w:val="center"/>
              <w:rPr>
                <w:rFonts w:ascii="Palatino Linotype" w:hAnsi="Palatino Linotype"/>
                <w:b/>
              </w:rPr>
            </w:pPr>
            <w:r w:rsidRPr="0083296E">
              <w:rPr>
                <w:rFonts w:ascii="Palatino Linotype" w:hAnsi="Palatino Linotype"/>
                <w:b/>
                <w:sz w:val="20"/>
                <w:szCs w:val="20"/>
              </w:rPr>
              <w:t>REMUNERACIÓN NETA MENSUAL</w:t>
            </w:r>
          </w:p>
        </w:tc>
      </w:tr>
      <w:tr w:rsidR="00B742F1" w:rsidTr="009A611D">
        <w:tc>
          <w:tcPr>
            <w:tcW w:w="4928" w:type="dxa"/>
          </w:tcPr>
          <w:p w:rsidR="00B742F1" w:rsidRDefault="00B742F1" w:rsidP="009A611D">
            <w:pPr>
              <w:pStyle w:val="Sinespaciado"/>
              <w:jc w:val="both"/>
              <w:rPr>
                <w:rFonts w:ascii="Palatino Linotype" w:hAnsi="Palatino Linotype"/>
              </w:rPr>
            </w:pPr>
            <w:r>
              <w:rPr>
                <w:rFonts w:ascii="Palatino Linotype" w:hAnsi="Palatino Linotype"/>
              </w:rPr>
              <w:t>Presidente del Consejo Electoral</w:t>
            </w:r>
          </w:p>
          <w:p w:rsidR="00B742F1" w:rsidRDefault="00B742F1" w:rsidP="009A611D">
            <w:pPr>
              <w:pStyle w:val="Sinespaciado"/>
              <w:jc w:val="both"/>
              <w:rPr>
                <w:rFonts w:ascii="Palatino Linotype" w:hAnsi="Palatino Linotype"/>
              </w:rPr>
            </w:pPr>
            <w:r>
              <w:rPr>
                <w:rFonts w:ascii="Palatino Linotype" w:hAnsi="Palatino Linotype"/>
              </w:rPr>
              <w:t>Consejero Electoral</w:t>
            </w:r>
          </w:p>
          <w:p w:rsidR="00B742F1" w:rsidRDefault="00B742F1" w:rsidP="009A611D">
            <w:pPr>
              <w:pStyle w:val="Sinespaciado"/>
              <w:jc w:val="both"/>
              <w:rPr>
                <w:rFonts w:ascii="Palatino Linotype" w:hAnsi="Palatino Linotype"/>
              </w:rPr>
            </w:pPr>
            <w:r>
              <w:rPr>
                <w:rFonts w:ascii="Palatino Linotype" w:hAnsi="Palatino Linotype"/>
              </w:rPr>
              <w:t>Secretario del Consejo Electoral</w:t>
            </w:r>
          </w:p>
        </w:tc>
        <w:tc>
          <w:tcPr>
            <w:tcW w:w="2410" w:type="dxa"/>
          </w:tcPr>
          <w:p w:rsidR="00B742F1" w:rsidRDefault="00B742F1" w:rsidP="009A611D">
            <w:pPr>
              <w:pStyle w:val="Sinespaciado"/>
              <w:jc w:val="right"/>
              <w:rPr>
                <w:rFonts w:ascii="Palatino Linotype" w:hAnsi="Palatino Linotype"/>
              </w:rPr>
            </w:pPr>
            <w:r>
              <w:rPr>
                <w:rFonts w:ascii="Palatino Linotype" w:hAnsi="Palatino Linotype"/>
              </w:rPr>
              <w:t>$  10,747.80</w:t>
            </w:r>
          </w:p>
          <w:p w:rsidR="00B742F1" w:rsidRDefault="00B742F1" w:rsidP="009A611D">
            <w:pPr>
              <w:pStyle w:val="Sinespaciado"/>
              <w:jc w:val="right"/>
              <w:rPr>
                <w:rFonts w:ascii="Palatino Linotype" w:hAnsi="Palatino Linotype"/>
              </w:rPr>
            </w:pPr>
            <w:r>
              <w:rPr>
                <w:rFonts w:ascii="Palatino Linotype" w:hAnsi="Palatino Linotype"/>
              </w:rPr>
              <w:t>9,655.80</w:t>
            </w:r>
          </w:p>
          <w:p w:rsidR="00B742F1" w:rsidRDefault="00B742F1" w:rsidP="009A611D">
            <w:pPr>
              <w:pStyle w:val="Sinespaciado"/>
              <w:jc w:val="right"/>
              <w:rPr>
                <w:rFonts w:ascii="Palatino Linotype" w:hAnsi="Palatino Linotype"/>
              </w:rPr>
            </w:pPr>
            <w:r>
              <w:rPr>
                <w:rFonts w:ascii="Palatino Linotype" w:hAnsi="Palatino Linotype"/>
              </w:rPr>
              <w:t>9,655.80</w:t>
            </w:r>
          </w:p>
        </w:tc>
        <w:tc>
          <w:tcPr>
            <w:tcW w:w="2206" w:type="dxa"/>
          </w:tcPr>
          <w:p w:rsidR="00B742F1" w:rsidRDefault="00B742F1" w:rsidP="009A611D">
            <w:pPr>
              <w:pStyle w:val="Sinespaciado"/>
              <w:jc w:val="right"/>
              <w:rPr>
                <w:rFonts w:ascii="Palatino Linotype" w:hAnsi="Palatino Linotype"/>
              </w:rPr>
            </w:pPr>
            <w:r>
              <w:rPr>
                <w:rFonts w:ascii="Palatino Linotype" w:hAnsi="Palatino Linotype"/>
              </w:rPr>
              <w:t>$  9,546.60</w:t>
            </w:r>
          </w:p>
          <w:p w:rsidR="00B742F1" w:rsidRDefault="00B742F1" w:rsidP="009A611D">
            <w:pPr>
              <w:pStyle w:val="Sinespaciado"/>
              <w:jc w:val="right"/>
              <w:rPr>
                <w:rFonts w:ascii="Palatino Linotype" w:hAnsi="Palatino Linotype"/>
              </w:rPr>
            </w:pPr>
            <w:r>
              <w:rPr>
                <w:rFonts w:ascii="Palatino Linotype" w:hAnsi="Palatino Linotype"/>
              </w:rPr>
              <w:t>8,670.40</w:t>
            </w:r>
          </w:p>
          <w:p w:rsidR="00B742F1" w:rsidRDefault="00B742F1" w:rsidP="009A611D">
            <w:pPr>
              <w:pStyle w:val="Sinespaciado"/>
              <w:jc w:val="right"/>
              <w:rPr>
                <w:rFonts w:ascii="Palatino Linotype" w:hAnsi="Palatino Linotype"/>
              </w:rPr>
            </w:pPr>
            <w:r>
              <w:rPr>
                <w:rFonts w:ascii="Palatino Linotype" w:hAnsi="Palatino Linotype"/>
              </w:rPr>
              <w:t>8,670.40</w:t>
            </w:r>
          </w:p>
        </w:tc>
      </w:tr>
    </w:tbl>
    <w:p w:rsidR="00B742F1" w:rsidRDefault="00B742F1" w:rsidP="00B742F1">
      <w:pPr>
        <w:pStyle w:val="Sinespaciado"/>
        <w:jc w:val="both"/>
        <w:rPr>
          <w:rFonts w:ascii="Palatino Linotype" w:hAnsi="Palatino Linotype"/>
        </w:rPr>
      </w:pPr>
    </w:p>
    <w:p w:rsidR="00B742F1" w:rsidRDefault="00B742F1" w:rsidP="00B742F1">
      <w:pPr>
        <w:pStyle w:val="Sinespaciado"/>
        <w:jc w:val="both"/>
        <w:rPr>
          <w:rFonts w:ascii="Palatino Linotype" w:hAnsi="Palatino Linotype"/>
        </w:rPr>
      </w:pPr>
      <w:r>
        <w:rPr>
          <w:rFonts w:ascii="Palatino Linotype" w:hAnsi="Palatino Linotype"/>
        </w:rPr>
        <w:t xml:space="preserve"> </w:t>
      </w:r>
    </w:p>
    <w:tbl>
      <w:tblPr>
        <w:tblStyle w:val="Tablaconcuadrcula"/>
        <w:tblW w:w="0" w:type="auto"/>
        <w:jc w:val="center"/>
        <w:tblInd w:w="-823" w:type="dxa"/>
        <w:tblLook w:val="04A0"/>
      </w:tblPr>
      <w:tblGrid>
        <w:gridCol w:w="3999"/>
        <w:gridCol w:w="2781"/>
        <w:gridCol w:w="24"/>
      </w:tblGrid>
      <w:tr w:rsidR="00B742F1" w:rsidTr="009A611D">
        <w:trPr>
          <w:jc w:val="center"/>
        </w:trPr>
        <w:tc>
          <w:tcPr>
            <w:tcW w:w="3999" w:type="dxa"/>
            <w:shd w:val="clear" w:color="auto" w:fill="D9D9D9" w:themeFill="background1" w:themeFillShade="D9"/>
          </w:tcPr>
          <w:p w:rsidR="00B742F1" w:rsidRPr="00D8435B" w:rsidRDefault="00B742F1" w:rsidP="009A611D">
            <w:pPr>
              <w:pStyle w:val="Sinespaciado"/>
              <w:jc w:val="center"/>
              <w:rPr>
                <w:rFonts w:ascii="Palatino Linotype" w:hAnsi="Palatino Linotype"/>
                <w:b/>
              </w:rPr>
            </w:pPr>
            <w:r>
              <w:rPr>
                <w:rFonts w:ascii="Palatino Linotype" w:hAnsi="Palatino Linotype"/>
                <w:b/>
              </w:rPr>
              <w:t>PUESTO</w:t>
            </w:r>
          </w:p>
        </w:tc>
        <w:tc>
          <w:tcPr>
            <w:tcW w:w="2805" w:type="dxa"/>
            <w:gridSpan w:val="2"/>
            <w:shd w:val="clear" w:color="auto" w:fill="D9D9D9" w:themeFill="background1" w:themeFillShade="D9"/>
          </w:tcPr>
          <w:p w:rsidR="00B742F1" w:rsidRPr="00D8435B" w:rsidRDefault="00B742F1" w:rsidP="009A611D">
            <w:pPr>
              <w:pStyle w:val="Sinespaciado"/>
              <w:jc w:val="center"/>
              <w:rPr>
                <w:rFonts w:ascii="Palatino Linotype" w:hAnsi="Palatino Linotype"/>
                <w:b/>
              </w:rPr>
            </w:pPr>
            <w:r>
              <w:rPr>
                <w:rFonts w:ascii="Palatino Linotype" w:hAnsi="Palatino Linotype"/>
                <w:b/>
              </w:rPr>
              <w:t>No. de integrantes</w:t>
            </w:r>
          </w:p>
        </w:tc>
      </w:tr>
      <w:tr w:rsidR="00B742F1" w:rsidTr="009A611D">
        <w:trPr>
          <w:jc w:val="center"/>
        </w:trPr>
        <w:tc>
          <w:tcPr>
            <w:tcW w:w="3999" w:type="dxa"/>
          </w:tcPr>
          <w:p w:rsidR="00B742F1" w:rsidRDefault="00B742F1" w:rsidP="009A611D">
            <w:pPr>
              <w:pStyle w:val="Sinespaciado"/>
              <w:jc w:val="both"/>
              <w:rPr>
                <w:rFonts w:ascii="Palatino Linotype" w:hAnsi="Palatino Linotype"/>
              </w:rPr>
            </w:pPr>
            <w:r>
              <w:rPr>
                <w:rFonts w:ascii="Palatino Linotype" w:hAnsi="Palatino Linotype"/>
              </w:rPr>
              <w:t>Presidente del Consejo Electoral</w:t>
            </w:r>
          </w:p>
          <w:p w:rsidR="00B742F1" w:rsidRDefault="00B742F1" w:rsidP="009A611D">
            <w:pPr>
              <w:pStyle w:val="Sinespaciado"/>
              <w:jc w:val="both"/>
              <w:rPr>
                <w:rFonts w:ascii="Palatino Linotype" w:hAnsi="Palatino Linotype"/>
              </w:rPr>
            </w:pPr>
            <w:r>
              <w:rPr>
                <w:rFonts w:ascii="Palatino Linotype" w:hAnsi="Palatino Linotype"/>
              </w:rPr>
              <w:t>Consejero Electoral</w:t>
            </w:r>
          </w:p>
          <w:p w:rsidR="00B742F1" w:rsidRDefault="00B742F1" w:rsidP="009A611D">
            <w:pPr>
              <w:pStyle w:val="Sinespaciado"/>
              <w:jc w:val="both"/>
              <w:rPr>
                <w:rFonts w:ascii="Palatino Linotype" w:hAnsi="Palatino Linotype"/>
              </w:rPr>
            </w:pPr>
            <w:r>
              <w:rPr>
                <w:rFonts w:ascii="Palatino Linotype" w:hAnsi="Palatino Linotype"/>
              </w:rPr>
              <w:t>Secretario del Consejo Electoral</w:t>
            </w:r>
          </w:p>
        </w:tc>
        <w:tc>
          <w:tcPr>
            <w:tcW w:w="2805" w:type="dxa"/>
            <w:gridSpan w:val="2"/>
          </w:tcPr>
          <w:p w:rsidR="00B742F1" w:rsidRDefault="00B742F1" w:rsidP="009A611D">
            <w:pPr>
              <w:pStyle w:val="Sinespaciado"/>
              <w:jc w:val="center"/>
              <w:rPr>
                <w:rFonts w:ascii="Palatino Linotype" w:hAnsi="Palatino Linotype"/>
              </w:rPr>
            </w:pPr>
            <w:r>
              <w:rPr>
                <w:rFonts w:ascii="Palatino Linotype" w:hAnsi="Palatino Linotype"/>
              </w:rPr>
              <w:t>24</w:t>
            </w:r>
          </w:p>
          <w:p w:rsidR="00B742F1" w:rsidRDefault="00B742F1" w:rsidP="009A611D">
            <w:pPr>
              <w:pStyle w:val="Sinespaciado"/>
              <w:jc w:val="center"/>
              <w:rPr>
                <w:rFonts w:ascii="Palatino Linotype" w:hAnsi="Palatino Linotype"/>
              </w:rPr>
            </w:pPr>
            <w:r>
              <w:rPr>
                <w:rFonts w:ascii="Palatino Linotype" w:hAnsi="Palatino Linotype"/>
              </w:rPr>
              <w:t>96</w:t>
            </w:r>
          </w:p>
          <w:p w:rsidR="00B742F1" w:rsidRDefault="00B742F1" w:rsidP="009A611D">
            <w:pPr>
              <w:pStyle w:val="Sinespaciado"/>
              <w:jc w:val="center"/>
              <w:rPr>
                <w:rFonts w:ascii="Palatino Linotype" w:hAnsi="Palatino Linotype"/>
              </w:rPr>
            </w:pPr>
            <w:r>
              <w:rPr>
                <w:rFonts w:ascii="Palatino Linotype" w:hAnsi="Palatino Linotype"/>
              </w:rPr>
              <w:t>24</w:t>
            </w:r>
          </w:p>
        </w:tc>
      </w:tr>
      <w:tr w:rsidR="00B742F1" w:rsidRPr="00D8435B" w:rsidTr="009A611D">
        <w:trPr>
          <w:gridAfter w:val="1"/>
          <w:wAfter w:w="24" w:type="dxa"/>
          <w:jc w:val="center"/>
        </w:trPr>
        <w:tc>
          <w:tcPr>
            <w:tcW w:w="6780" w:type="dxa"/>
            <w:gridSpan w:val="2"/>
          </w:tcPr>
          <w:p w:rsidR="00B742F1" w:rsidRPr="00D8435B" w:rsidRDefault="00B742F1" w:rsidP="009A611D">
            <w:pPr>
              <w:pStyle w:val="Sinespaciado"/>
              <w:rPr>
                <w:rFonts w:ascii="Palatino Linotype" w:hAnsi="Palatino Linotype"/>
                <w:b/>
                <w:sz w:val="24"/>
                <w:szCs w:val="24"/>
              </w:rPr>
            </w:pPr>
            <w:r w:rsidRPr="00D8435B">
              <w:rPr>
                <w:rFonts w:ascii="Palatino Linotype" w:hAnsi="Palatino Linotype"/>
                <w:b/>
                <w:sz w:val="24"/>
                <w:szCs w:val="24"/>
              </w:rPr>
              <w:t xml:space="preserve">      </w:t>
            </w:r>
            <w:r>
              <w:rPr>
                <w:rFonts w:ascii="Palatino Linotype" w:hAnsi="Palatino Linotype"/>
                <w:b/>
                <w:sz w:val="24"/>
                <w:szCs w:val="24"/>
              </w:rPr>
              <w:t>TOTAL DE PUESTOS                                       144</w:t>
            </w:r>
          </w:p>
        </w:tc>
      </w:tr>
    </w:tbl>
    <w:p w:rsidR="00B742F1" w:rsidRDefault="00B742F1" w:rsidP="00B742F1">
      <w:pPr>
        <w:jc w:val="both"/>
        <w:rPr>
          <w:rFonts w:ascii="Palatino Linotype" w:hAnsi="Palatino Linotype"/>
        </w:rPr>
      </w:pPr>
    </w:p>
    <w:p w:rsidR="00B742F1" w:rsidRDefault="00B742F1" w:rsidP="00B742F1">
      <w:pPr>
        <w:jc w:val="both"/>
        <w:rPr>
          <w:rFonts w:ascii="Palatino Linotype" w:hAnsi="Palatino Linotype"/>
          <w:sz w:val="22"/>
          <w:szCs w:val="22"/>
        </w:rPr>
      </w:pPr>
      <w:r w:rsidRPr="00D8435B">
        <w:rPr>
          <w:rFonts w:ascii="Palatino Linotype" w:hAnsi="Palatino Linotype"/>
          <w:sz w:val="22"/>
          <w:szCs w:val="22"/>
        </w:rPr>
        <w:t xml:space="preserve">Asimismo, se hace del conocimiento del </w:t>
      </w:r>
      <w:r>
        <w:rPr>
          <w:rFonts w:ascii="Palatino Linotype" w:hAnsi="Palatino Linotype"/>
          <w:sz w:val="22"/>
          <w:szCs w:val="22"/>
        </w:rPr>
        <w:t>solicitante que los integrantes de los Consejos Electorales Distritales y Municipales, son contratados de forma temporal, ya que funcionan exclusivamente durante el Proceso Electoral. Lo anterior, conforme a lo dispuesto en los artículos 291, 292, 307 y 308 de la Ley de Instituciones y Procedimientos Electorales del Estado de Campeche que a la letra dicen:</w:t>
      </w:r>
    </w:p>
    <w:p w:rsidR="00B742F1" w:rsidRDefault="00B742F1" w:rsidP="00B742F1">
      <w:pPr>
        <w:jc w:val="both"/>
        <w:rPr>
          <w:rFonts w:ascii="Palatino Linotype" w:hAnsi="Palatino Linotype"/>
          <w:sz w:val="22"/>
          <w:szCs w:val="22"/>
        </w:rPr>
      </w:pPr>
    </w:p>
    <w:p w:rsidR="00B742F1" w:rsidRDefault="00B742F1" w:rsidP="00B742F1">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291.-</w:t>
      </w:r>
      <w:r w:rsidRPr="00ED51E7">
        <w:rPr>
          <w:rFonts w:ascii="Palatino Linotype" w:hAnsi="Palatino Linotype"/>
          <w:i/>
          <w:sz w:val="22"/>
          <w:szCs w:val="22"/>
        </w:rPr>
        <w:t xml:space="preserve"> Los Consejos Electorales Distritales son los organismos encargados de la preparación, desarrollo y vigilancia del proceso electoral, en sus respectivos ámbitos de competencia. Son dependientes del Instituto Electoral y funcionan exclusivamente durante el proceso electoral, teniendo como sede la población cabecera de cada Distrito. Sede que podrá variar el Consejo General haciéndolo constar en el Acta de la sesión correspondiente.</w:t>
      </w:r>
    </w:p>
    <w:p w:rsidR="00B742F1" w:rsidRPr="00ED51E7" w:rsidRDefault="00B742F1" w:rsidP="00B742F1">
      <w:pPr>
        <w:autoSpaceDE w:val="0"/>
        <w:autoSpaceDN w:val="0"/>
        <w:adjustRightInd w:val="0"/>
        <w:ind w:left="426"/>
        <w:jc w:val="both"/>
        <w:rPr>
          <w:rFonts w:ascii="Palatino Linotype" w:hAnsi="Palatino Linotype"/>
          <w:i/>
          <w:sz w:val="22"/>
          <w:szCs w:val="22"/>
        </w:rPr>
      </w:pPr>
    </w:p>
    <w:p w:rsidR="00B742F1" w:rsidRDefault="00B742F1" w:rsidP="00B742F1">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292.-</w:t>
      </w:r>
      <w:r w:rsidRPr="00ED51E7">
        <w:rPr>
          <w:rFonts w:ascii="Palatino Linotype" w:hAnsi="Palatino Linotype"/>
          <w:i/>
          <w:sz w:val="22"/>
          <w:szCs w:val="22"/>
        </w:rPr>
        <w:t xml:space="preserve"> Los Consejos Distritales se integran por cinco consejeros electorales, un Secretario y representantes de los partidos políticos y en su caso representantes de los candidatos independientes, designados en los términos de esta Ley de Instituciones.</w:t>
      </w:r>
    </w:p>
    <w:p w:rsidR="00B742F1" w:rsidRPr="00ED51E7" w:rsidRDefault="00B742F1" w:rsidP="00B742F1">
      <w:pPr>
        <w:autoSpaceDE w:val="0"/>
        <w:autoSpaceDN w:val="0"/>
        <w:adjustRightInd w:val="0"/>
        <w:ind w:left="426"/>
        <w:jc w:val="both"/>
        <w:rPr>
          <w:rFonts w:ascii="Palatino Linotype" w:hAnsi="Palatino Linotype"/>
          <w:i/>
          <w:sz w:val="22"/>
          <w:szCs w:val="22"/>
        </w:rPr>
      </w:pPr>
    </w:p>
    <w:p w:rsidR="00B742F1" w:rsidRDefault="00B742F1" w:rsidP="00B742F1">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307.-</w:t>
      </w:r>
      <w:r w:rsidRPr="00ED51E7">
        <w:rPr>
          <w:rFonts w:ascii="Palatino Linotype" w:hAnsi="Palatino Linotype"/>
          <w:i/>
          <w:sz w:val="22"/>
          <w:szCs w:val="22"/>
        </w:rPr>
        <w:t xml:space="preserve"> Los consejos electorales municipales son los organismos encargados de la preparación, desarrollo y vigilancia del proceso electoral en sus respectivos ámbitos de competencia. Son dependientes del Instituto Electoral y funcionarán durante el proceso electoral en los municipios en cuya demarcación territorial exista más de un Distrito Electoral, y en donde lo determine el Consejo General y se instalarán en la cabecera del Municipio </w:t>
      </w:r>
      <w:r w:rsidRPr="00ED51E7">
        <w:rPr>
          <w:rFonts w:ascii="Palatino Linotype" w:hAnsi="Palatino Linotype"/>
          <w:i/>
          <w:sz w:val="22"/>
          <w:szCs w:val="22"/>
        </w:rPr>
        <w:lastRenderedPageBreak/>
        <w:t>respectivo. Sede que podrá variar el Consejo General haciéndolo constar en el Acta de la sesión correspondiente.</w:t>
      </w:r>
    </w:p>
    <w:p w:rsidR="00B742F1" w:rsidRPr="00ED51E7" w:rsidRDefault="00B742F1" w:rsidP="00B742F1">
      <w:pPr>
        <w:autoSpaceDE w:val="0"/>
        <w:autoSpaceDN w:val="0"/>
        <w:adjustRightInd w:val="0"/>
        <w:ind w:left="426"/>
        <w:jc w:val="both"/>
        <w:rPr>
          <w:rFonts w:ascii="Palatino Linotype" w:hAnsi="Palatino Linotype"/>
          <w:i/>
          <w:sz w:val="22"/>
          <w:szCs w:val="22"/>
        </w:rPr>
      </w:pPr>
    </w:p>
    <w:p w:rsidR="00B742F1" w:rsidRPr="00ED51E7" w:rsidRDefault="00B742F1" w:rsidP="00B742F1">
      <w:pPr>
        <w:autoSpaceDE w:val="0"/>
        <w:autoSpaceDN w:val="0"/>
        <w:adjustRightInd w:val="0"/>
        <w:ind w:left="426"/>
        <w:jc w:val="both"/>
        <w:rPr>
          <w:rFonts w:ascii="Palatino Linotype" w:hAnsi="Palatino Linotype"/>
          <w:i/>
          <w:sz w:val="22"/>
          <w:szCs w:val="22"/>
        </w:rPr>
      </w:pPr>
      <w:r w:rsidRPr="00ED51E7">
        <w:rPr>
          <w:rFonts w:ascii="Palatino Linotype" w:hAnsi="Palatino Linotype"/>
          <w:b/>
          <w:i/>
          <w:sz w:val="22"/>
          <w:szCs w:val="22"/>
        </w:rPr>
        <w:t>Artículo 308.-</w:t>
      </w:r>
      <w:r w:rsidRPr="00ED51E7">
        <w:rPr>
          <w:rFonts w:ascii="Palatino Linotype" w:hAnsi="Palatino Linotype"/>
          <w:i/>
          <w:sz w:val="22"/>
          <w:szCs w:val="22"/>
        </w:rPr>
        <w:t xml:space="preserve"> Los consejos municipales se integran con cinco consejeros electorales, un Secretario y representantes de los partidos políticos y en su caso representantes de los candidatos independientes, designados en los términos de esta Ley de Instituciones.</w:t>
      </w:r>
    </w:p>
    <w:p w:rsidR="00B742F1" w:rsidRDefault="00B742F1" w:rsidP="00B742F1">
      <w:pPr>
        <w:ind w:left="426"/>
        <w:jc w:val="both"/>
        <w:rPr>
          <w:rFonts w:ascii="Palatino Linotype" w:hAnsi="Palatino Linotype"/>
          <w:sz w:val="22"/>
          <w:szCs w:val="22"/>
        </w:rPr>
      </w:pPr>
    </w:p>
    <w:p w:rsidR="00B742F1" w:rsidRPr="00D8435B" w:rsidRDefault="00B742F1" w:rsidP="00B742F1">
      <w:pPr>
        <w:jc w:val="both"/>
        <w:rPr>
          <w:rFonts w:ascii="Palatino Linotype" w:hAnsi="Palatino Linotype"/>
          <w:sz w:val="22"/>
          <w:szCs w:val="22"/>
        </w:rPr>
      </w:pPr>
      <w:r>
        <w:rPr>
          <w:rFonts w:ascii="Palatino Linotype" w:hAnsi="Palatino Linotype"/>
          <w:sz w:val="22"/>
          <w:szCs w:val="22"/>
        </w:rPr>
        <w:t xml:space="preserve">así como lo establecido en el artículo 83 del Reglamento Interior de este Instituto Electoral del Estado de Campeche, mismos que puede consultar en el portal de internet de este sujeto obligado ubicado en: </w:t>
      </w:r>
      <w:hyperlink r:id="rId4" w:history="1">
        <w:r w:rsidRPr="009B02C0">
          <w:rPr>
            <w:rStyle w:val="Hipervnculo"/>
            <w:rFonts w:ascii="Palatino Linotype" w:hAnsi="Palatino Linotype"/>
            <w:sz w:val="22"/>
            <w:szCs w:val="22"/>
          </w:rPr>
          <w:t>www.ieec.org.mx</w:t>
        </w:r>
      </w:hyperlink>
      <w:r>
        <w:rPr>
          <w:rFonts w:ascii="Palatino Linotype" w:hAnsi="Palatino Linotype"/>
          <w:sz w:val="22"/>
          <w:szCs w:val="22"/>
        </w:rPr>
        <w:t xml:space="preserve">  desde el apartado denominado “Legislación” </w:t>
      </w:r>
      <w:r w:rsidRPr="00340E86">
        <w:rPr>
          <w:rFonts w:ascii="Palatino Linotype" w:hAnsi="Palatino Linotype"/>
          <w:sz w:val="22"/>
          <w:szCs w:val="22"/>
        </w:rPr>
        <w:t xml:space="preserve">que al desplegar las opciones deberá ingresar  </w:t>
      </w:r>
      <w:r>
        <w:rPr>
          <w:rFonts w:ascii="Palatino Linotype" w:hAnsi="Palatino Linotype"/>
          <w:sz w:val="22"/>
          <w:szCs w:val="22"/>
        </w:rPr>
        <w:t xml:space="preserve">a la “Ley de Instituciones y Procedimientos Electorales del Estado de Campeche” y en Reglamentos, seleccionar el “Reglamento Interior del Instituto Electoral del Estado de Campeche”; </w:t>
      </w:r>
      <w:r w:rsidRPr="00340E86">
        <w:rPr>
          <w:rFonts w:ascii="Palatino Linotype" w:hAnsi="Palatino Linotype"/>
          <w:sz w:val="22"/>
          <w:szCs w:val="22"/>
        </w:rPr>
        <w:t>o bien</w:t>
      </w:r>
      <w:r>
        <w:rPr>
          <w:rFonts w:ascii="Palatino Linotype" w:hAnsi="Palatino Linotype"/>
          <w:sz w:val="22"/>
          <w:szCs w:val="22"/>
        </w:rPr>
        <w:t>,</w:t>
      </w:r>
      <w:r w:rsidRPr="00340E86">
        <w:rPr>
          <w:rFonts w:ascii="Palatino Linotype" w:hAnsi="Palatino Linotype"/>
          <w:sz w:val="22"/>
          <w:szCs w:val="22"/>
        </w:rPr>
        <w:t xml:space="preserve"> </w:t>
      </w:r>
      <w:r>
        <w:rPr>
          <w:rFonts w:ascii="Palatino Linotype" w:hAnsi="Palatino Linotype"/>
          <w:sz w:val="22"/>
          <w:szCs w:val="22"/>
        </w:rPr>
        <w:t>el</w:t>
      </w:r>
      <w:r w:rsidRPr="00340E86">
        <w:rPr>
          <w:rFonts w:ascii="Palatino Linotype" w:hAnsi="Palatino Linotype"/>
          <w:sz w:val="22"/>
          <w:szCs w:val="22"/>
        </w:rPr>
        <w:t xml:space="preserve"> </w:t>
      </w:r>
      <w:r>
        <w:rPr>
          <w:rFonts w:ascii="Palatino Linotype" w:hAnsi="Palatino Linotype"/>
          <w:sz w:val="22"/>
          <w:szCs w:val="22"/>
        </w:rPr>
        <w:t>solicitante</w:t>
      </w:r>
      <w:r w:rsidRPr="00340E86">
        <w:rPr>
          <w:rFonts w:ascii="Palatino Linotype" w:hAnsi="Palatino Linotype"/>
          <w:sz w:val="22"/>
          <w:szCs w:val="22"/>
        </w:rPr>
        <w:t xml:space="preserve"> podrá descargar directamente </w:t>
      </w:r>
      <w:r>
        <w:rPr>
          <w:rFonts w:ascii="Palatino Linotype" w:hAnsi="Palatino Linotype"/>
          <w:sz w:val="22"/>
          <w:szCs w:val="22"/>
        </w:rPr>
        <w:t>los</w:t>
      </w:r>
      <w:r w:rsidRPr="00340E86">
        <w:rPr>
          <w:rFonts w:ascii="Palatino Linotype" w:hAnsi="Palatino Linotype"/>
          <w:sz w:val="22"/>
          <w:szCs w:val="22"/>
        </w:rPr>
        <w:t xml:space="preserve"> archivo</w:t>
      </w:r>
      <w:r>
        <w:rPr>
          <w:rFonts w:ascii="Palatino Linotype" w:hAnsi="Palatino Linotype"/>
          <w:sz w:val="22"/>
          <w:szCs w:val="22"/>
        </w:rPr>
        <w:t>s</w:t>
      </w:r>
      <w:r w:rsidRPr="00340E86">
        <w:rPr>
          <w:rFonts w:ascii="Palatino Linotype" w:hAnsi="Palatino Linotype"/>
          <w:sz w:val="22"/>
          <w:szCs w:val="22"/>
        </w:rPr>
        <w:t xml:space="preserve"> que en formato </w:t>
      </w:r>
      <w:r>
        <w:rPr>
          <w:rFonts w:ascii="Palatino Linotype" w:hAnsi="Palatino Linotype"/>
          <w:sz w:val="22"/>
          <w:szCs w:val="22"/>
        </w:rPr>
        <w:t xml:space="preserve">PDF </w:t>
      </w:r>
      <w:r w:rsidRPr="00340E86">
        <w:rPr>
          <w:rFonts w:ascii="Palatino Linotype" w:hAnsi="Palatino Linotype"/>
          <w:sz w:val="22"/>
          <w:szCs w:val="22"/>
        </w:rPr>
        <w:t>se mantiene</w:t>
      </w:r>
      <w:r>
        <w:rPr>
          <w:rFonts w:ascii="Palatino Linotype" w:hAnsi="Palatino Linotype"/>
          <w:sz w:val="22"/>
          <w:szCs w:val="22"/>
        </w:rPr>
        <w:t>n</w:t>
      </w:r>
      <w:r w:rsidRPr="00340E86">
        <w:rPr>
          <w:rFonts w:ascii="Palatino Linotype" w:hAnsi="Palatino Linotype"/>
          <w:sz w:val="22"/>
          <w:szCs w:val="22"/>
        </w:rPr>
        <w:t xml:space="preserve"> desde </w:t>
      </w:r>
      <w:r>
        <w:rPr>
          <w:rFonts w:ascii="Palatino Linotype" w:hAnsi="Palatino Linotype"/>
          <w:sz w:val="22"/>
          <w:szCs w:val="22"/>
        </w:rPr>
        <w:t>los</w:t>
      </w:r>
      <w:r w:rsidRPr="00340E86">
        <w:rPr>
          <w:rFonts w:ascii="Palatino Linotype" w:hAnsi="Palatino Linotype"/>
          <w:sz w:val="22"/>
          <w:szCs w:val="22"/>
        </w:rPr>
        <w:t xml:space="preserve"> enlace</w:t>
      </w:r>
      <w:r>
        <w:rPr>
          <w:rFonts w:ascii="Palatino Linotype" w:hAnsi="Palatino Linotype"/>
          <w:sz w:val="22"/>
          <w:szCs w:val="22"/>
        </w:rPr>
        <w:t>s</w:t>
      </w:r>
      <w:r w:rsidRPr="00340E86">
        <w:rPr>
          <w:rFonts w:ascii="Palatino Linotype" w:hAnsi="Palatino Linotype"/>
          <w:sz w:val="22"/>
          <w:szCs w:val="22"/>
        </w:rPr>
        <w:t xml:space="preserve"> que a continuación se le proporciona</w:t>
      </w:r>
      <w:r>
        <w:rPr>
          <w:rFonts w:ascii="Palatino Linotype" w:hAnsi="Palatino Linotype"/>
          <w:sz w:val="22"/>
          <w:szCs w:val="22"/>
        </w:rPr>
        <w:t>n</w:t>
      </w:r>
      <w:r w:rsidRPr="00340E86">
        <w:rPr>
          <w:rFonts w:ascii="Palatino Linotype" w:hAnsi="Palatino Linotype"/>
          <w:sz w:val="22"/>
          <w:szCs w:val="22"/>
        </w:rPr>
        <w:t>:</w:t>
      </w:r>
      <w:r>
        <w:rPr>
          <w:rFonts w:ascii="Palatino Linotype" w:hAnsi="Palatino Linotype"/>
          <w:sz w:val="22"/>
          <w:szCs w:val="22"/>
        </w:rPr>
        <w:t xml:space="preserve"> </w:t>
      </w:r>
      <w:hyperlink r:id="rId5" w:history="1">
        <w:r w:rsidRPr="009B02C0">
          <w:rPr>
            <w:rStyle w:val="Hipervnculo"/>
            <w:rFonts w:ascii="Palatino Linotype" w:hAnsi="Palatino Linotype"/>
            <w:sz w:val="22"/>
            <w:szCs w:val="22"/>
          </w:rPr>
          <w:t>http://www.ieec.org.mx/LeyInstProcElectorales.pdf</w:t>
        </w:r>
      </w:hyperlink>
      <w:r>
        <w:rPr>
          <w:rFonts w:ascii="Palatino Linotype" w:hAnsi="Palatino Linotype"/>
          <w:sz w:val="22"/>
          <w:szCs w:val="22"/>
        </w:rPr>
        <w:t xml:space="preserve"> y </w:t>
      </w:r>
      <w:hyperlink r:id="rId6" w:history="1">
        <w:r w:rsidRPr="009B02C0">
          <w:rPr>
            <w:rStyle w:val="Hipervnculo"/>
            <w:rFonts w:ascii="Palatino Linotype" w:hAnsi="Palatino Linotype"/>
            <w:sz w:val="22"/>
            <w:szCs w:val="22"/>
          </w:rPr>
          <w:t>http://www.ieec.org.mx/reglamentos/regint2010.pdf</w:t>
        </w:r>
      </w:hyperlink>
      <w:r>
        <w:rPr>
          <w:rFonts w:ascii="Palatino Linotype" w:hAnsi="Palatino Linotype"/>
          <w:sz w:val="22"/>
          <w:szCs w:val="22"/>
        </w:rPr>
        <w:t>, respectivamente.</w:t>
      </w:r>
    </w:p>
    <w:p w:rsidR="00B742F1" w:rsidRDefault="00B742F1"/>
    <w:sectPr w:rsidR="00B742F1" w:rsidSect="00985B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2F1"/>
    <w:rsid w:val="00985B91"/>
    <w:rsid w:val="00B742F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F1"/>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742F1"/>
    <w:rPr>
      <w:color w:val="0000FF"/>
      <w:u w:val="single"/>
    </w:rPr>
  </w:style>
  <w:style w:type="table" w:styleId="Tablaconcuadrcula">
    <w:name w:val="Table Grid"/>
    <w:basedOn w:val="Tablanormal"/>
    <w:uiPriority w:val="59"/>
    <w:rsid w:val="00B74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742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ec.org.mx/reglamentos/regint2010.pdf" TargetMode="External"/><Relationship Id="rId5" Type="http://schemas.openxmlformats.org/officeDocument/2006/relationships/hyperlink" Target="http://www.ieec.org.mx/LeyInstProcElectorales.pdf" TargetMode="External"/><Relationship Id="rId4" Type="http://schemas.openxmlformats.org/officeDocument/2006/relationships/hyperlink" Target="http://www.ieec.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2017-02-01T18:59:00Z</dcterms:created>
  <dcterms:modified xsi:type="dcterms:W3CDTF">2017-02-01T19:00:00Z</dcterms:modified>
</cp:coreProperties>
</file>